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A60B" w14:textId="30275411" w:rsidR="001421FA" w:rsidRDefault="00E35EE4">
      <w:pPr>
        <w:jc w:val="center"/>
      </w:pPr>
      <w:r>
        <w:rPr>
          <w:b/>
          <w:bCs/>
          <w:sz w:val="24"/>
          <w:szCs w:val="24"/>
          <w:u w:val="single"/>
        </w:rPr>
        <w:t xml:space="preserve">COMMENTS OF HUNT ENERGY NETWORK, LLC </w:t>
      </w:r>
      <w:r w:rsidR="00066C30">
        <w:rPr>
          <w:b/>
          <w:bCs/>
          <w:sz w:val="24"/>
          <w:szCs w:val="24"/>
          <w:u w:val="single"/>
        </w:rPr>
        <w:t xml:space="preserve">(HEN) </w:t>
      </w:r>
      <w:r>
        <w:rPr>
          <w:b/>
          <w:bCs/>
          <w:sz w:val="24"/>
          <w:szCs w:val="24"/>
          <w:u w:val="single"/>
        </w:rPr>
        <w:t>ON</w:t>
      </w:r>
    </w:p>
    <w:p w14:paraId="044DED16" w14:textId="6FDDCE72" w:rsidR="001421FA" w:rsidRDefault="00E35EE4">
      <w:pPr>
        <w:jc w:val="center"/>
        <w:rPr>
          <w:b/>
          <w:bCs/>
          <w:sz w:val="24"/>
          <w:szCs w:val="24"/>
          <w:u w:val="single"/>
        </w:rPr>
      </w:pPr>
      <w:r>
        <w:rPr>
          <w:b/>
          <w:bCs/>
          <w:sz w:val="24"/>
          <w:szCs w:val="24"/>
          <w:u w:val="single"/>
        </w:rPr>
        <w:t xml:space="preserve">ERCOT'S </w:t>
      </w:r>
      <w:r w:rsidR="009E719A">
        <w:rPr>
          <w:b/>
          <w:bCs/>
          <w:sz w:val="24"/>
          <w:szCs w:val="24"/>
          <w:u w:val="single"/>
        </w:rPr>
        <w:t>2027 ANCILLARY SERVICE METHODOLOGY</w:t>
      </w:r>
    </w:p>
    <w:p w14:paraId="20C35776" w14:textId="77777777" w:rsidR="002F4678" w:rsidRDefault="002F4678">
      <w:pPr>
        <w:jc w:val="center"/>
        <w:rPr>
          <w:b/>
          <w:bCs/>
          <w:sz w:val="24"/>
          <w:szCs w:val="24"/>
          <w:u w:val="single"/>
        </w:rPr>
      </w:pPr>
    </w:p>
    <w:p w14:paraId="547A45E9" w14:textId="115321E2" w:rsidR="002F4678" w:rsidRDefault="00B734E3">
      <w:pPr>
        <w:jc w:val="center"/>
        <w:rPr>
          <w:b/>
          <w:bCs/>
          <w:sz w:val="24"/>
          <w:szCs w:val="24"/>
          <w:u w:val="single"/>
        </w:rPr>
      </w:pPr>
      <w:r>
        <w:rPr>
          <w:b/>
          <w:bCs/>
          <w:sz w:val="24"/>
          <w:szCs w:val="24"/>
          <w:u w:val="single"/>
        </w:rPr>
        <w:t>TAC Meeting on August 26, 2026</w:t>
      </w:r>
    </w:p>
    <w:p w14:paraId="7C3E608E" w14:textId="77777777" w:rsidR="00B734E3" w:rsidRDefault="00B734E3">
      <w:pPr>
        <w:jc w:val="center"/>
        <w:rPr>
          <w:b/>
          <w:bCs/>
          <w:sz w:val="24"/>
          <w:szCs w:val="24"/>
          <w:u w:val="single"/>
        </w:rPr>
      </w:pPr>
    </w:p>
    <w:p w14:paraId="547E384D" w14:textId="625ADC73" w:rsidR="005C0CE8" w:rsidRDefault="005C0CE8">
      <w:pPr>
        <w:jc w:val="center"/>
        <w:rPr>
          <w:b/>
          <w:bCs/>
          <w:sz w:val="24"/>
          <w:szCs w:val="24"/>
          <w:u w:val="single"/>
        </w:rPr>
      </w:pPr>
      <w:r>
        <w:rPr>
          <w:b/>
          <w:bCs/>
          <w:sz w:val="24"/>
          <w:szCs w:val="24"/>
          <w:u w:val="single"/>
        </w:rPr>
        <w:t>Contact: Shams</w:t>
      </w:r>
      <w:r w:rsidR="00AC6043">
        <w:rPr>
          <w:b/>
          <w:bCs/>
          <w:sz w:val="24"/>
          <w:szCs w:val="24"/>
          <w:u w:val="single"/>
        </w:rPr>
        <w:t xml:space="preserve"> Siddiqi, PhD, </w:t>
      </w:r>
      <w:r w:rsidR="00886903">
        <w:rPr>
          <w:b/>
          <w:bCs/>
          <w:sz w:val="24"/>
          <w:szCs w:val="24"/>
          <w:u w:val="single"/>
        </w:rPr>
        <w:t xml:space="preserve">Phone: (512) 619-3532, Email: </w:t>
      </w:r>
      <w:hyperlink r:id="rId8" w:history="1">
        <w:r w:rsidR="00252AA5" w:rsidRPr="00163425">
          <w:rPr>
            <w:rStyle w:val="Hyperlink"/>
            <w:b/>
            <w:bCs/>
            <w:sz w:val="24"/>
            <w:szCs w:val="24"/>
          </w:rPr>
          <w:t>shams@crescentpower.net</w:t>
        </w:r>
      </w:hyperlink>
    </w:p>
    <w:p w14:paraId="48F099B8" w14:textId="77777777" w:rsidR="00252AA5" w:rsidRDefault="00252AA5">
      <w:pPr>
        <w:jc w:val="center"/>
      </w:pPr>
    </w:p>
    <w:p w14:paraId="3C8D067C" w14:textId="77777777" w:rsidR="001421FA" w:rsidRDefault="001421FA"/>
    <w:p w14:paraId="5F803F40" w14:textId="77777777" w:rsidR="00862DE3" w:rsidRDefault="007B73D5">
      <w:pPr>
        <w:spacing w:line="480" w:lineRule="auto"/>
        <w:ind w:firstLine="720"/>
        <w:jc w:val="both"/>
        <w:rPr>
          <w:sz w:val="24"/>
          <w:szCs w:val="24"/>
        </w:rPr>
      </w:pPr>
      <w:r>
        <w:rPr>
          <w:sz w:val="24"/>
          <w:szCs w:val="24"/>
        </w:rPr>
        <w:t xml:space="preserve">Recommended TAC Action: Eliminate </w:t>
      </w:r>
      <w:r w:rsidR="00066C30">
        <w:rPr>
          <w:sz w:val="24"/>
          <w:szCs w:val="24"/>
        </w:rPr>
        <w:t xml:space="preserve">“Risk Credits” </w:t>
      </w:r>
      <w:r w:rsidR="005C4C2F">
        <w:rPr>
          <w:sz w:val="24"/>
          <w:szCs w:val="24"/>
        </w:rPr>
        <w:t>from</w:t>
      </w:r>
      <w:r w:rsidR="00D71069">
        <w:rPr>
          <w:sz w:val="24"/>
          <w:szCs w:val="24"/>
        </w:rPr>
        <w:t xml:space="preserve"> ERCOT’s proposed 2027 Ancillary Service M</w:t>
      </w:r>
      <w:r w:rsidR="005C4C2F">
        <w:rPr>
          <w:sz w:val="24"/>
          <w:szCs w:val="24"/>
        </w:rPr>
        <w:t>e</w:t>
      </w:r>
      <w:r w:rsidR="00D71069">
        <w:rPr>
          <w:sz w:val="24"/>
          <w:szCs w:val="24"/>
        </w:rPr>
        <w:t>thodo</w:t>
      </w:r>
      <w:r w:rsidR="005C4C2F">
        <w:rPr>
          <w:sz w:val="24"/>
          <w:szCs w:val="24"/>
        </w:rPr>
        <w:t>logy in determining minimum</w:t>
      </w:r>
      <w:r>
        <w:rPr>
          <w:sz w:val="24"/>
          <w:szCs w:val="24"/>
        </w:rPr>
        <w:t xml:space="preserve"> procure</w:t>
      </w:r>
      <w:r w:rsidR="000D7571">
        <w:rPr>
          <w:sz w:val="24"/>
          <w:szCs w:val="24"/>
        </w:rPr>
        <w:t>ment quantities for</w:t>
      </w:r>
      <w:r>
        <w:rPr>
          <w:sz w:val="24"/>
          <w:szCs w:val="24"/>
        </w:rPr>
        <w:t xml:space="preserve"> ECRS and Non-Spin</w:t>
      </w:r>
      <w:r w:rsidR="00862DE3">
        <w:rPr>
          <w:sz w:val="24"/>
          <w:szCs w:val="24"/>
        </w:rPr>
        <w:t>.</w:t>
      </w:r>
    </w:p>
    <w:p w14:paraId="146969AA" w14:textId="5798907B" w:rsidR="002A4383" w:rsidRDefault="00D21E6A">
      <w:pPr>
        <w:spacing w:line="480" w:lineRule="auto"/>
        <w:ind w:firstLine="720"/>
        <w:jc w:val="both"/>
        <w:rPr>
          <w:sz w:val="24"/>
          <w:szCs w:val="24"/>
        </w:rPr>
      </w:pPr>
      <w:r>
        <w:rPr>
          <w:sz w:val="24"/>
          <w:szCs w:val="24"/>
        </w:rPr>
        <w:t>Eliminating “Risk Credits” is necessary for the</w:t>
      </w:r>
      <w:r w:rsidR="002A4383">
        <w:rPr>
          <w:sz w:val="24"/>
          <w:szCs w:val="24"/>
        </w:rPr>
        <w:t xml:space="preserve"> following reasons:</w:t>
      </w:r>
    </w:p>
    <w:p w14:paraId="63557265" w14:textId="680EEFF1" w:rsidR="001D1CBA" w:rsidRPr="001D1CBA" w:rsidRDefault="001D1CBA" w:rsidP="001D1CBA">
      <w:pPr>
        <w:spacing w:line="480" w:lineRule="auto"/>
        <w:ind w:firstLine="720"/>
        <w:jc w:val="both"/>
        <w:rPr>
          <w:sz w:val="24"/>
          <w:szCs w:val="24"/>
        </w:rPr>
      </w:pPr>
      <w:r w:rsidRPr="001D1CBA">
        <w:rPr>
          <w:sz w:val="24"/>
          <w:szCs w:val="24"/>
        </w:rPr>
        <w:t xml:space="preserve">1. Price formation consistent with operational reliability practice is essential to both short-term market decisions </w:t>
      </w:r>
      <w:r w:rsidR="004641C1">
        <w:rPr>
          <w:sz w:val="24"/>
          <w:szCs w:val="24"/>
        </w:rPr>
        <w:t>–</w:t>
      </w:r>
      <w:r w:rsidRPr="001D1CBA">
        <w:rPr>
          <w:sz w:val="24"/>
          <w:szCs w:val="24"/>
        </w:rPr>
        <w:t xml:space="preserve"> resource commitment, dispatch and availability</w:t>
      </w:r>
      <w:r w:rsidR="004641C1">
        <w:rPr>
          <w:sz w:val="24"/>
          <w:szCs w:val="24"/>
        </w:rPr>
        <w:t xml:space="preserve"> –</w:t>
      </w:r>
      <w:r w:rsidRPr="001D1CBA">
        <w:rPr>
          <w:sz w:val="24"/>
          <w:szCs w:val="24"/>
        </w:rPr>
        <w:t xml:space="preserve"> and long-term investment decisions in the resources needed to support operational reliability; and</w:t>
      </w:r>
    </w:p>
    <w:p w14:paraId="2B9FF274" w14:textId="5B4776E0" w:rsidR="001D1CBA" w:rsidRDefault="001D1CBA" w:rsidP="001D1CBA">
      <w:pPr>
        <w:spacing w:line="480" w:lineRule="auto"/>
        <w:ind w:firstLine="720"/>
        <w:jc w:val="both"/>
        <w:rPr>
          <w:sz w:val="24"/>
          <w:szCs w:val="24"/>
        </w:rPr>
      </w:pPr>
      <w:r w:rsidRPr="001D1CBA">
        <w:rPr>
          <w:sz w:val="24"/>
          <w:szCs w:val="24"/>
        </w:rPr>
        <w:t>2. Under-procuring ERCOT Contingency Reserve Service (ECRS) and Non-Spinning Reserve Service (Non-Spin) results in reliance on ERCOT out-of-market actions, such as Reliability Unit Commitment (RUC)</w:t>
      </w:r>
      <w:r w:rsidR="00C04A83">
        <w:rPr>
          <w:sz w:val="24"/>
          <w:szCs w:val="24"/>
        </w:rPr>
        <w:t>,</w:t>
      </w:r>
      <w:r w:rsidRPr="001D1CBA">
        <w:rPr>
          <w:sz w:val="24"/>
          <w:szCs w:val="24"/>
        </w:rPr>
        <w:t xml:space="preserve"> to ensure operational reliability</w:t>
      </w:r>
      <w:r>
        <w:rPr>
          <w:sz w:val="24"/>
          <w:szCs w:val="24"/>
        </w:rPr>
        <w:t>.</w:t>
      </w:r>
      <w:r w:rsidR="00940709">
        <w:rPr>
          <w:sz w:val="24"/>
          <w:szCs w:val="24"/>
        </w:rPr>
        <w:t xml:space="preserve">  </w:t>
      </w:r>
    </w:p>
    <w:p w14:paraId="43321555" w14:textId="3AA715E4" w:rsidR="001421FA" w:rsidRDefault="00E35EE4">
      <w:pPr>
        <w:spacing w:before="240" w:line="480" w:lineRule="auto"/>
      </w:pPr>
      <w:r>
        <w:rPr>
          <w:b/>
          <w:bCs/>
          <w:sz w:val="24"/>
          <w:szCs w:val="24"/>
        </w:rPr>
        <w:t xml:space="preserve">I.  </w:t>
      </w:r>
      <w:r w:rsidR="00E74CB0">
        <w:rPr>
          <w:b/>
          <w:bCs/>
          <w:sz w:val="24"/>
          <w:szCs w:val="24"/>
        </w:rPr>
        <w:t>Price formation is sacrificed with ancillary service under-procurement – jeopardizing short- and long-term reliability</w:t>
      </w:r>
      <w:r>
        <w:rPr>
          <w:b/>
          <w:bCs/>
          <w:sz w:val="24"/>
          <w:szCs w:val="24"/>
        </w:rPr>
        <w:t>.</w:t>
      </w:r>
    </w:p>
    <w:p w14:paraId="2C5A7DF3" w14:textId="2317FB07" w:rsidR="002F4015" w:rsidRDefault="002A6C08" w:rsidP="00940709">
      <w:pPr>
        <w:spacing w:line="480" w:lineRule="auto"/>
        <w:ind w:firstLine="720"/>
        <w:jc w:val="both"/>
      </w:pPr>
      <w:r>
        <w:rPr>
          <w:sz w:val="24"/>
          <w:szCs w:val="24"/>
        </w:rPr>
        <w:t xml:space="preserve">In a mild year, a shortfall in ECRS and Non-Spin is unlikely to produce an observable reliability event, because ERCOT holds out-of-market tools </w:t>
      </w:r>
      <w:r w:rsidR="008E4662">
        <w:rPr>
          <w:sz w:val="24"/>
          <w:szCs w:val="24"/>
        </w:rPr>
        <w:t>–</w:t>
      </w:r>
      <w:r>
        <w:rPr>
          <w:sz w:val="24"/>
          <w:szCs w:val="24"/>
        </w:rPr>
        <w:t xml:space="preserve"> chiefly RUC </w:t>
      </w:r>
      <w:r w:rsidR="008E4662">
        <w:rPr>
          <w:sz w:val="24"/>
          <w:szCs w:val="24"/>
        </w:rPr>
        <w:t>–</w:t>
      </w:r>
      <w:r>
        <w:rPr>
          <w:sz w:val="24"/>
          <w:szCs w:val="24"/>
        </w:rPr>
        <w:t xml:space="preserve"> and because capacity that was never counted is often available. That is the difficulty rather than the answer. Reliability preserved by substituting out-of-market intervention and unpriced headroom for the reserves the methodology calls for is reliability bought by suppressing the price signal that induces resources to self-commit, to increase availability, and to minimize outage duration. The reliability consequence therefore does not appear in the mild year; it appears in the commitment and </w:t>
      </w:r>
      <w:r>
        <w:rPr>
          <w:sz w:val="24"/>
          <w:szCs w:val="24"/>
        </w:rPr>
        <w:lastRenderedPageBreak/>
        <w:t>investment decisions that the mild year’s suppressed prices fail to support. ERCOT cannot maintain that reducing minimum quantities by “risk credit” amounts has little or no reliability impact while making no attempt to quantify the additional reliance on RUC and other out-of-market actions that the reduction produces, or the effect of those actions on price formation.</w:t>
      </w:r>
    </w:p>
    <w:p w14:paraId="2C62A6C4" w14:textId="2460902C" w:rsidR="001421FA" w:rsidRDefault="00E35EE4">
      <w:pPr>
        <w:spacing w:line="480" w:lineRule="auto"/>
        <w:ind w:firstLine="720"/>
        <w:jc w:val="both"/>
      </w:pPr>
      <w:r>
        <w:rPr>
          <w:sz w:val="24"/>
          <w:szCs w:val="24"/>
        </w:rPr>
        <w:t xml:space="preserve">ERCOT is an energy-only market. </w:t>
      </w:r>
      <w:r w:rsidR="00F735D3">
        <w:rPr>
          <w:sz w:val="24"/>
          <w:szCs w:val="24"/>
        </w:rPr>
        <w:t xml:space="preserve">The market depends on </w:t>
      </w:r>
      <w:r w:rsidR="004D1179">
        <w:rPr>
          <w:sz w:val="24"/>
          <w:szCs w:val="24"/>
        </w:rPr>
        <w:t xml:space="preserve">energy and ancillary service price signals to make short- and long-term decisions that directly impact reliability. </w:t>
      </w:r>
      <w:r w:rsidR="00D32AC0">
        <w:rPr>
          <w:sz w:val="24"/>
          <w:szCs w:val="24"/>
        </w:rPr>
        <w:t>The</w:t>
      </w:r>
      <w:r>
        <w:rPr>
          <w:sz w:val="24"/>
          <w:szCs w:val="24"/>
        </w:rPr>
        <w:t xml:space="preserve"> AS </w:t>
      </w:r>
      <w:r w:rsidR="00D32AC0">
        <w:rPr>
          <w:sz w:val="24"/>
          <w:szCs w:val="24"/>
        </w:rPr>
        <w:t>Plan</w:t>
      </w:r>
      <w:r>
        <w:rPr>
          <w:sz w:val="24"/>
          <w:szCs w:val="24"/>
        </w:rPr>
        <w:t xml:space="preserve"> and the Ancillary Service Demand Curves </w:t>
      </w:r>
      <w:r w:rsidR="00780C90">
        <w:rPr>
          <w:sz w:val="24"/>
          <w:szCs w:val="24"/>
        </w:rPr>
        <w:t xml:space="preserve">(ASDCs) </w:t>
      </w:r>
      <w:r w:rsidR="001B5106">
        <w:rPr>
          <w:sz w:val="24"/>
          <w:szCs w:val="24"/>
        </w:rPr>
        <w:t xml:space="preserve">that are directly impacted by </w:t>
      </w:r>
      <w:r w:rsidR="00CD7195">
        <w:rPr>
          <w:sz w:val="24"/>
          <w:szCs w:val="24"/>
        </w:rPr>
        <w:t>the minimum AS quantities</w:t>
      </w:r>
      <w:r>
        <w:rPr>
          <w:sz w:val="24"/>
          <w:szCs w:val="24"/>
        </w:rPr>
        <w:t xml:space="preserve"> are how scarcity is priced; under RTC they perform the function the ORDC adder performed pre-RTC. Under-procuring </w:t>
      </w:r>
      <w:r w:rsidR="00C26452">
        <w:rPr>
          <w:sz w:val="24"/>
          <w:szCs w:val="24"/>
        </w:rPr>
        <w:t>minimum ECRS and Non-Spin</w:t>
      </w:r>
      <w:r w:rsidR="00551766">
        <w:rPr>
          <w:sz w:val="24"/>
          <w:szCs w:val="24"/>
        </w:rPr>
        <w:t xml:space="preserve"> </w:t>
      </w:r>
      <w:r>
        <w:rPr>
          <w:sz w:val="24"/>
          <w:szCs w:val="24"/>
        </w:rPr>
        <w:t xml:space="preserve">not </w:t>
      </w:r>
      <w:r w:rsidR="00551766">
        <w:rPr>
          <w:sz w:val="24"/>
          <w:szCs w:val="24"/>
        </w:rPr>
        <w:t>onl</w:t>
      </w:r>
      <w:r>
        <w:rPr>
          <w:sz w:val="24"/>
          <w:szCs w:val="24"/>
        </w:rPr>
        <w:t>y suppress</w:t>
      </w:r>
      <w:r w:rsidR="00551766">
        <w:rPr>
          <w:sz w:val="24"/>
          <w:szCs w:val="24"/>
        </w:rPr>
        <w:t>es</w:t>
      </w:r>
      <w:r>
        <w:rPr>
          <w:sz w:val="24"/>
          <w:szCs w:val="24"/>
        </w:rPr>
        <w:t xml:space="preserve"> MCPCs for ECRS and Non-</w:t>
      </w:r>
      <w:r w:rsidR="00C82FAF">
        <w:rPr>
          <w:sz w:val="24"/>
          <w:szCs w:val="24"/>
        </w:rPr>
        <w:t>Spin but</w:t>
      </w:r>
      <w:r w:rsidR="00551766">
        <w:rPr>
          <w:sz w:val="24"/>
          <w:szCs w:val="24"/>
        </w:rPr>
        <w:t xml:space="preserve"> also</w:t>
      </w:r>
      <w:r>
        <w:rPr>
          <w:sz w:val="24"/>
          <w:szCs w:val="24"/>
        </w:rPr>
        <w:t xml:space="preserve"> suppresse</w:t>
      </w:r>
      <w:r w:rsidR="00551766">
        <w:rPr>
          <w:sz w:val="24"/>
          <w:szCs w:val="24"/>
        </w:rPr>
        <w:t>s</w:t>
      </w:r>
      <w:r>
        <w:rPr>
          <w:sz w:val="24"/>
          <w:szCs w:val="24"/>
        </w:rPr>
        <w:t xml:space="preserve"> energy </w:t>
      </w:r>
      <w:r w:rsidR="00D60D6D">
        <w:rPr>
          <w:sz w:val="24"/>
          <w:szCs w:val="24"/>
        </w:rPr>
        <w:t xml:space="preserve">and other ancillary service </w:t>
      </w:r>
      <w:r>
        <w:rPr>
          <w:sz w:val="24"/>
          <w:szCs w:val="24"/>
        </w:rPr>
        <w:t>prices in every hour</w:t>
      </w:r>
      <w:r w:rsidR="000A6BDD">
        <w:rPr>
          <w:sz w:val="24"/>
          <w:szCs w:val="24"/>
        </w:rPr>
        <w:t xml:space="preserve"> of scarcity</w:t>
      </w:r>
      <w:r>
        <w:rPr>
          <w:sz w:val="24"/>
          <w:szCs w:val="24"/>
        </w:rPr>
        <w:t xml:space="preserve">. </w:t>
      </w:r>
    </w:p>
    <w:p w14:paraId="35BE05B0" w14:textId="0202407F" w:rsidR="007E6303" w:rsidRDefault="00F85C3F">
      <w:pPr>
        <w:spacing w:line="480" w:lineRule="auto"/>
        <w:ind w:firstLine="720"/>
        <w:jc w:val="both"/>
        <w:rPr>
          <w:sz w:val="24"/>
          <w:szCs w:val="24"/>
        </w:rPr>
      </w:pPr>
      <w:r>
        <w:rPr>
          <w:sz w:val="24"/>
          <w:szCs w:val="24"/>
        </w:rPr>
        <w:t>There is a</w:t>
      </w:r>
      <w:r w:rsidR="00207B66">
        <w:rPr>
          <w:sz w:val="24"/>
          <w:szCs w:val="24"/>
        </w:rPr>
        <w:t xml:space="preserve"> </w:t>
      </w:r>
      <w:r w:rsidR="00AE7FC5">
        <w:rPr>
          <w:sz w:val="24"/>
          <w:szCs w:val="24"/>
        </w:rPr>
        <w:t>significant</w:t>
      </w:r>
      <w:r w:rsidR="00207B66">
        <w:rPr>
          <w:sz w:val="24"/>
          <w:szCs w:val="24"/>
        </w:rPr>
        <w:t xml:space="preserve"> disconnect between scarcity pricing pre-RTC </w:t>
      </w:r>
      <w:r w:rsidR="00D16204">
        <w:rPr>
          <w:sz w:val="24"/>
          <w:szCs w:val="24"/>
        </w:rPr>
        <w:t>and</w:t>
      </w:r>
      <w:r w:rsidR="00207B66">
        <w:rPr>
          <w:sz w:val="24"/>
          <w:szCs w:val="24"/>
        </w:rPr>
        <w:t xml:space="preserve"> post-RTC. </w:t>
      </w:r>
      <w:r w:rsidR="00B257DC">
        <w:rPr>
          <w:sz w:val="24"/>
          <w:szCs w:val="24"/>
        </w:rPr>
        <w:t xml:space="preserve">Pre-RTC, ERCOT procured all AS in DAM </w:t>
      </w:r>
      <w:r w:rsidR="00FD0862">
        <w:rPr>
          <w:sz w:val="24"/>
          <w:szCs w:val="24"/>
        </w:rPr>
        <w:t xml:space="preserve">with flat ASDCs for all AS at the </w:t>
      </w:r>
      <w:r w:rsidR="00137B7E">
        <w:rPr>
          <w:sz w:val="24"/>
          <w:szCs w:val="24"/>
        </w:rPr>
        <w:t>System-Wide Offer Cap (</w:t>
      </w:r>
      <w:r w:rsidR="00FD0862">
        <w:rPr>
          <w:sz w:val="24"/>
          <w:szCs w:val="24"/>
        </w:rPr>
        <w:t>SWCAP</w:t>
      </w:r>
      <w:r w:rsidR="00137B7E">
        <w:rPr>
          <w:sz w:val="24"/>
          <w:szCs w:val="24"/>
        </w:rPr>
        <w:t xml:space="preserve">) of $5,000/MW </w:t>
      </w:r>
      <w:r w:rsidR="003C4575">
        <w:rPr>
          <w:sz w:val="24"/>
          <w:szCs w:val="24"/>
        </w:rPr>
        <w:t>up to the AS Plan (</w:t>
      </w:r>
      <w:r w:rsidR="00321B9A">
        <w:rPr>
          <w:sz w:val="24"/>
          <w:szCs w:val="24"/>
        </w:rPr>
        <w:t xml:space="preserve">minimum AS) quantities. </w:t>
      </w:r>
      <w:r w:rsidR="005A047E">
        <w:rPr>
          <w:sz w:val="24"/>
          <w:szCs w:val="24"/>
        </w:rPr>
        <w:t xml:space="preserve">Pre-RTC, </w:t>
      </w:r>
      <w:r w:rsidR="00F23A0F">
        <w:rPr>
          <w:sz w:val="24"/>
          <w:szCs w:val="24"/>
        </w:rPr>
        <w:t xml:space="preserve">the scarcity pricing for energy and ancillary services would </w:t>
      </w:r>
      <w:r w:rsidR="00B32F0C">
        <w:rPr>
          <w:sz w:val="24"/>
          <w:szCs w:val="24"/>
        </w:rPr>
        <w:t xml:space="preserve">result in much higher </w:t>
      </w:r>
      <w:r w:rsidR="006D745F">
        <w:rPr>
          <w:sz w:val="24"/>
          <w:szCs w:val="24"/>
        </w:rPr>
        <w:t xml:space="preserve">ancillary service prices (set in DAM) and DAM energy prices. </w:t>
      </w:r>
      <w:r w:rsidR="002B286E">
        <w:rPr>
          <w:sz w:val="24"/>
          <w:szCs w:val="24"/>
        </w:rPr>
        <w:t xml:space="preserve">However, </w:t>
      </w:r>
      <w:r w:rsidR="000A54BF">
        <w:rPr>
          <w:sz w:val="24"/>
          <w:szCs w:val="24"/>
        </w:rPr>
        <w:t xml:space="preserve">the seriously flawed ORDC adder calculations </w:t>
      </w:r>
      <w:r w:rsidR="001429C9">
        <w:rPr>
          <w:sz w:val="24"/>
          <w:szCs w:val="24"/>
        </w:rPr>
        <w:t xml:space="preserve">set </w:t>
      </w:r>
      <w:r w:rsidR="003838BD">
        <w:rPr>
          <w:sz w:val="24"/>
          <w:szCs w:val="24"/>
        </w:rPr>
        <w:t xml:space="preserve">RTM </w:t>
      </w:r>
      <w:r w:rsidR="001429C9">
        <w:rPr>
          <w:sz w:val="24"/>
          <w:szCs w:val="24"/>
        </w:rPr>
        <w:t>reserve prices at close to nothing</w:t>
      </w:r>
      <w:r w:rsidR="003838BD">
        <w:rPr>
          <w:sz w:val="24"/>
          <w:szCs w:val="24"/>
        </w:rPr>
        <w:t xml:space="preserve">. </w:t>
      </w:r>
      <w:r w:rsidR="00AA22D3">
        <w:rPr>
          <w:sz w:val="24"/>
          <w:szCs w:val="24"/>
        </w:rPr>
        <w:t>HEN has pointed out th</w:t>
      </w:r>
      <w:r w:rsidR="00F92205">
        <w:rPr>
          <w:sz w:val="24"/>
          <w:szCs w:val="24"/>
        </w:rPr>
        <w:t>is</w:t>
      </w:r>
      <w:r w:rsidR="00AA22D3">
        <w:rPr>
          <w:sz w:val="24"/>
          <w:szCs w:val="24"/>
        </w:rPr>
        <w:t xml:space="preserve"> mathematical </w:t>
      </w:r>
      <w:r w:rsidR="00273065">
        <w:rPr>
          <w:sz w:val="24"/>
          <w:szCs w:val="24"/>
        </w:rPr>
        <w:t>flaw in the ORDC adder calculations for many year</w:t>
      </w:r>
      <w:r w:rsidR="00F92205">
        <w:rPr>
          <w:sz w:val="24"/>
          <w:szCs w:val="24"/>
        </w:rPr>
        <w:t xml:space="preserve">s. </w:t>
      </w:r>
      <w:r w:rsidR="00137B7E">
        <w:rPr>
          <w:sz w:val="24"/>
          <w:szCs w:val="24"/>
        </w:rPr>
        <w:t xml:space="preserve"> </w:t>
      </w:r>
      <w:r w:rsidR="00C25CDC">
        <w:rPr>
          <w:sz w:val="24"/>
          <w:szCs w:val="24"/>
        </w:rPr>
        <w:t xml:space="preserve">The following graphs from the Independent Market Monitor (IMM) 2025 State of the Market </w:t>
      </w:r>
      <w:r w:rsidR="00E52468">
        <w:rPr>
          <w:sz w:val="24"/>
          <w:szCs w:val="24"/>
        </w:rPr>
        <w:t xml:space="preserve">(SOM) </w:t>
      </w:r>
      <w:r w:rsidR="00C25CDC">
        <w:rPr>
          <w:sz w:val="24"/>
          <w:szCs w:val="24"/>
        </w:rPr>
        <w:t xml:space="preserve">Report </w:t>
      </w:r>
      <w:r w:rsidR="00A33CCB">
        <w:rPr>
          <w:sz w:val="24"/>
          <w:szCs w:val="24"/>
        </w:rPr>
        <w:t>point to th</w:t>
      </w:r>
      <w:r w:rsidR="00775AFD">
        <w:rPr>
          <w:sz w:val="24"/>
          <w:szCs w:val="24"/>
        </w:rPr>
        <w:t>is</w:t>
      </w:r>
      <w:r w:rsidR="00A33CCB">
        <w:rPr>
          <w:sz w:val="24"/>
          <w:szCs w:val="24"/>
        </w:rPr>
        <w:t xml:space="preserve"> discrepancy between</w:t>
      </w:r>
      <w:r w:rsidR="0061661F">
        <w:rPr>
          <w:sz w:val="24"/>
          <w:szCs w:val="24"/>
        </w:rPr>
        <w:t xml:space="preserve"> 2025 </w:t>
      </w:r>
      <w:r w:rsidR="00A33CCB">
        <w:rPr>
          <w:sz w:val="24"/>
          <w:szCs w:val="24"/>
        </w:rPr>
        <w:t xml:space="preserve">DAM </w:t>
      </w:r>
      <w:r w:rsidR="008E3B86">
        <w:rPr>
          <w:sz w:val="24"/>
          <w:szCs w:val="24"/>
        </w:rPr>
        <w:t>valuation of operati</w:t>
      </w:r>
      <w:r w:rsidR="00C03E88">
        <w:rPr>
          <w:sz w:val="24"/>
          <w:szCs w:val="24"/>
        </w:rPr>
        <w:t xml:space="preserve">ng reserves (the annual average ECRS market clearing price </w:t>
      </w:r>
      <w:r w:rsidR="00CE7AED">
        <w:rPr>
          <w:sz w:val="24"/>
          <w:szCs w:val="24"/>
        </w:rPr>
        <w:t>of</w:t>
      </w:r>
      <w:r w:rsidR="00C03E88">
        <w:rPr>
          <w:sz w:val="24"/>
          <w:szCs w:val="24"/>
        </w:rPr>
        <w:t xml:space="preserve"> $2.65/MWh in 2025</w:t>
      </w:r>
      <w:r w:rsidR="00CE7AED">
        <w:rPr>
          <w:sz w:val="24"/>
          <w:szCs w:val="24"/>
        </w:rPr>
        <w:t xml:space="preserve"> – the lowest of all AS MCPCs</w:t>
      </w:r>
      <w:r w:rsidR="00C03E88">
        <w:rPr>
          <w:sz w:val="24"/>
          <w:szCs w:val="24"/>
        </w:rPr>
        <w:t>) and the real-time ORDC adder valuation of operating reserves, which averaged $0.02/MWh across all hours of 2025.</w:t>
      </w:r>
    </w:p>
    <w:p w14:paraId="76FB39B6" w14:textId="2FCA50EA" w:rsidR="00072F1C" w:rsidRDefault="00072F1C">
      <w:pPr>
        <w:spacing w:line="480" w:lineRule="auto"/>
        <w:ind w:firstLine="720"/>
        <w:jc w:val="both"/>
        <w:rPr>
          <w:sz w:val="24"/>
          <w:szCs w:val="24"/>
        </w:rPr>
      </w:pPr>
      <w:r w:rsidRPr="00072F1C">
        <w:rPr>
          <w:noProof/>
          <w:sz w:val="24"/>
          <w:szCs w:val="24"/>
        </w:rPr>
        <w:lastRenderedPageBreak/>
        <w:drawing>
          <wp:inline distT="0" distB="0" distL="0" distR="0" wp14:anchorId="7F8EE44A" wp14:editId="6A0DEDA0">
            <wp:extent cx="4747260" cy="2960444"/>
            <wp:effectExtent l="0" t="0" r="0" b="0"/>
            <wp:docPr id="1375938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938337" name=""/>
                    <pic:cNvPicPr/>
                  </pic:nvPicPr>
                  <pic:blipFill>
                    <a:blip r:embed="rId9"/>
                    <a:stretch>
                      <a:fillRect/>
                    </a:stretch>
                  </pic:blipFill>
                  <pic:spPr>
                    <a:xfrm>
                      <a:off x="0" y="0"/>
                      <a:ext cx="4764318" cy="2971081"/>
                    </a:xfrm>
                    <a:prstGeom prst="rect">
                      <a:avLst/>
                    </a:prstGeom>
                  </pic:spPr>
                </pic:pic>
              </a:graphicData>
            </a:graphic>
          </wp:inline>
        </w:drawing>
      </w:r>
    </w:p>
    <w:p w14:paraId="1BC4E3CD" w14:textId="77777777" w:rsidR="006A5EB2" w:rsidRDefault="00E35EE4">
      <w:pPr>
        <w:spacing w:line="480" w:lineRule="auto"/>
        <w:jc w:val="center"/>
      </w:pPr>
      <w:r>
        <w:rPr>
          <w:i/>
          <w:sz w:val="24"/>
          <w:szCs w:val="24"/>
        </w:rPr>
        <w:t>Source: Potomac Economics, 2025 State of the Market Report for the ERCOT Electricity Markets (June 2026), Figure 25 (Ancillary Service Prices, 2021–2025).</w:t>
      </w:r>
    </w:p>
    <w:p w14:paraId="5B284E10" w14:textId="77777777" w:rsidR="007E6303" w:rsidRDefault="007E6303">
      <w:pPr>
        <w:spacing w:line="480" w:lineRule="auto"/>
        <w:ind w:firstLine="720"/>
        <w:jc w:val="both"/>
        <w:rPr>
          <w:sz w:val="24"/>
          <w:szCs w:val="24"/>
        </w:rPr>
      </w:pPr>
      <w:r w:rsidRPr="007E6303">
        <w:rPr>
          <w:noProof/>
          <w:sz w:val="24"/>
          <w:szCs w:val="24"/>
        </w:rPr>
        <w:drawing>
          <wp:inline distT="0" distB="0" distL="0" distR="0" wp14:anchorId="1B4A71C0" wp14:editId="27852AB8">
            <wp:extent cx="4629752" cy="2819400"/>
            <wp:effectExtent l="0" t="0" r="0" b="0"/>
            <wp:docPr id="224646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46378" name=""/>
                    <pic:cNvPicPr/>
                  </pic:nvPicPr>
                  <pic:blipFill>
                    <a:blip r:embed="rId10"/>
                    <a:stretch>
                      <a:fillRect/>
                    </a:stretch>
                  </pic:blipFill>
                  <pic:spPr>
                    <a:xfrm>
                      <a:off x="0" y="0"/>
                      <a:ext cx="4635355" cy="2822812"/>
                    </a:xfrm>
                    <a:prstGeom prst="rect">
                      <a:avLst/>
                    </a:prstGeom>
                  </pic:spPr>
                </pic:pic>
              </a:graphicData>
            </a:graphic>
          </wp:inline>
        </w:drawing>
      </w:r>
    </w:p>
    <w:p w14:paraId="6B63F17B" w14:textId="77777777" w:rsidR="006A5EB2" w:rsidRDefault="00E35EE4">
      <w:pPr>
        <w:spacing w:line="480" w:lineRule="auto"/>
        <w:jc w:val="center"/>
      </w:pPr>
      <w:r>
        <w:rPr>
          <w:i/>
          <w:sz w:val="24"/>
          <w:szCs w:val="24"/>
        </w:rPr>
        <w:t>Source: 2025 State of the Market Report, Figure 5 (Impact of the ORDC on Real-Time Prices).</w:t>
      </w:r>
    </w:p>
    <w:p w14:paraId="4A9343EB" w14:textId="77777777" w:rsidR="00072F1C" w:rsidRDefault="00072F1C">
      <w:pPr>
        <w:spacing w:line="480" w:lineRule="auto"/>
        <w:ind w:firstLine="720"/>
        <w:jc w:val="both"/>
        <w:rPr>
          <w:sz w:val="24"/>
          <w:szCs w:val="24"/>
        </w:rPr>
      </w:pPr>
    </w:p>
    <w:p w14:paraId="5A737A55" w14:textId="71B140C3" w:rsidR="000A2D7D" w:rsidRDefault="003224E5">
      <w:pPr>
        <w:spacing w:line="480" w:lineRule="auto"/>
        <w:ind w:firstLine="720"/>
        <w:jc w:val="both"/>
        <w:rPr>
          <w:sz w:val="24"/>
          <w:szCs w:val="24"/>
        </w:rPr>
      </w:pPr>
      <w:r>
        <w:rPr>
          <w:sz w:val="24"/>
          <w:szCs w:val="24"/>
        </w:rPr>
        <w:t>Such undervaluation of operating reserves by the ORDC adder calculation</w:t>
      </w:r>
      <w:r w:rsidR="00EA5CF4">
        <w:rPr>
          <w:sz w:val="24"/>
          <w:szCs w:val="24"/>
        </w:rPr>
        <w:t xml:space="preserve"> and the use of </w:t>
      </w:r>
      <w:r w:rsidR="006D2EFC">
        <w:rPr>
          <w:sz w:val="24"/>
          <w:szCs w:val="24"/>
        </w:rPr>
        <w:t>Value of Lost Load of only $5,000/MWh</w:t>
      </w:r>
      <w:r w:rsidR="00E66AA2">
        <w:rPr>
          <w:sz w:val="24"/>
          <w:szCs w:val="24"/>
        </w:rPr>
        <w:t xml:space="preserve"> (used in the ORDC calculations </w:t>
      </w:r>
      <w:r w:rsidR="00D06EBD">
        <w:rPr>
          <w:sz w:val="24"/>
          <w:szCs w:val="24"/>
        </w:rPr>
        <w:t>which</w:t>
      </w:r>
      <w:r w:rsidR="00E66AA2">
        <w:rPr>
          <w:sz w:val="24"/>
          <w:szCs w:val="24"/>
        </w:rPr>
        <w:t xml:space="preserve"> determine</w:t>
      </w:r>
      <w:r w:rsidR="00D06EBD">
        <w:rPr>
          <w:sz w:val="24"/>
          <w:szCs w:val="24"/>
        </w:rPr>
        <w:t>d</w:t>
      </w:r>
      <w:r w:rsidR="00E66AA2">
        <w:rPr>
          <w:sz w:val="24"/>
          <w:szCs w:val="24"/>
        </w:rPr>
        <w:t xml:space="preserve"> </w:t>
      </w:r>
      <w:r w:rsidR="00E66AA2">
        <w:rPr>
          <w:sz w:val="24"/>
          <w:szCs w:val="24"/>
        </w:rPr>
        <w:lastRenderedPageBreak/>
        <w:t>ASDCs)</w:t>
      </w:r>
      <w:r w:rsidR="006D2EFC">
        <w:rPr>
          <w:sz w:val="24"/>
          <w:szCs w:val="24"/>
        </w:rPr>
        <w:t xml:space="preserve"> </w:t>
      </w:r>
      <w:r w:rsidR="00030E81">
        <w:rPr>
          <w:sz w:val="24"/>
          <w:szCs w:val="24"/>
        </w:rPr>
        <w:t>instead of the approximately $35,000/MWh the Commission has determined for planning purposes</w:t>
      </w:r>
      <w:r w:rsidR="00030E81">
        <w:rPr>
          <w:rStyle w:val="FootnoteReference"/>
          <w:sz w:val="24"/>
          <w:szCs w:val="24"/>
        </w:rPr>
        <w:footnoteReference w:id="1"/>
      </w:r>
      <w:r w:rsidR="00AB699D">
        <w:rPr>
          <w:sz w:val="24"/>
          <w:szCs w:val="24"/>
        </w:rPr>
        <w:t xml:space="preserve"> </w:t>
      </w:r>
      <w:r w:rsidR="00BF2CAA">
        <w:rPr>
          <w:sz w:val="24"/>
          <w:szCs w:val="24"/>
        </w:rPr>
        <w:t>are</w:t>
      </w:r>
      <w:r w:rsidR="00756E0E">
        <w:rPr>
          <w:sz w:val="24"/>
          <w:szCs w:val="24"/>
        </w:rPr>
        <w:t xml:space="preserve"> mostly</w:t>
      </w:r>
      <w:r>
        <w:rPr>
          <w:sz w:val="24"/>
          <w:szCs w:val="24"/>
        </w:rPr>
        <w:t xml:space="preserve"> to blame for the “missing money” problem in ERCOT </w:t>
      </w:r>
      <w:r w:rsidR="00276EEF">
        <w:rPr>
          <w:sz w:val="24"/>
          <w:szCs w:val="24"/>
        </w:rPr>
        <w:t xml:space="preserve">that exacerbates </w:t>
      </w:r>
      <w:r w:rsidR="00425210">
        <w:rPr>
          <w:sz w:val="24"/>
          <w:szCs w:val="24"/>
        </w:rPr>
        <w:t xml:space="preserve">the </w:t>
      </w:r>
      <w:r w:rsidR="00756E0E">
        <w:rPr>
          <w:sz w:val="24"/>
          <w:szCs w:val="24"/>
        </w:rPr>
        <w:t xml:space="preserve">lack </w:t>
      </w:r>
      <w:r w:rsidR="00055005">
        <w:rPr>
          <w:sz w:val="24"/>
          <w:szCs w:val="24"/>
        </w:rPr>
        <w:t xml:space="preserve">of adequate investment in dispatchable resources. </w:t>
      </w:r>
      <w:r w:rsidR="008139AE">
        <w:rPr>
          <w:sz w:val="24"/>
          <w:szCs w:val="24"/>
        </w:rPr>
        <w:t xml:space="preserve">The IMM </w:t>
      </w:r>
      <w:r w:rsidR="00D17910">
        <w:rPr>
          <w:sz w:val="24"/>
          <w:szCs w:val="24"/>
        </w:rPr>
        <w:t xml:space="preserve">has stated their preference for market-based solutions </w:t>
      </w:r>
      <w:r w:rsidR="00866DC6">
        <w:rPr>
          <w:sz w:val="24"/>
          <w:szCs w:val="24"/>
        </w:rPr>
        <w:t>to resolving the missing money problem</w:t>
      </w:r>
      <w:r w:rsidR="00446BF8">
        <w:rPr>
          <w:rStyle w:val="FootnoteReference"/>
          <w:sz w:val="24"/>
          <w:szCs w:val="24"/>
        </w:rPr>
        <w:footnoteReference w:id="2"/>
      </w:r>
      <w:r w:rsidR="00866DC6">
        <w:rPr>
          <w:sz w:val="24"/>
          <w:szCs w:val="24"/>
        </w:rPr>
        <w:t xml:space="preserve"> </w:t>
      </w:r>
      <w:r w:rsidR="000B0FA4">
        <w:rPr>
          <w:sz w:val="24"/>
          <w:szCs w:val="24"/>
        </w:rPr>
        <w:t xml:space="preserve">and </w:t>
      </w:r>
      <w:r w:rsidR="00EA1256">
        <w:rPr>
          <w:sz w:val="24"/>
          <w:szCs w:val="24"/>
        </w:rPr>
        <w:t xml:space="preserve">yet opposes determining AS quantities based on ERCOTs operational </w:t>
      </w:r>
      <w:r w:rsidR="00B23977">
        <w:rPr>
          <w:sz w:val="24"/>
          <w:szCs w:val="24"/>
        </w:rPr>
        <w:t>reliability goals</w:t>
      </w:r>
      <w:r w:rsidR="00986943">
        <w:rPr>
          <w:sz w:val="24"/>
          <w:szCs w:val="24"/>
        </w:rPr>
        <w:t>. The graph below from the IMM’s 2025 SOM</w:t>
      </w:r>
      <w:r w:rsidR="000A2D7D">
        <w:rPr>
          <w:sz w:val="24"/>
          <w:szCs w:val="24"/>
        </w:rPr>
        <w:t xml:space="preserve"> Report illustrates this issue:</w:t>
      </w:r>
    </w:p>
    <w:p w14:paraId="686ECBB8" w14:textId="77777777" w:rsidR="000A2D7D" w:rsidRDefault="000A2D7D">
      <w:pPr>
        <w:spacing w:line="480" w:lineRule="auto"/>
        <w:ind w:firstLine="720"/>
        <w:jc w:val="both"/>
        <w:rPr>
          <w:sz w:val="24"/>
          <w:szCs w:val="24"/>
        </w:rPr>
      </w:pPr>
      <w:r w:rsidRPr="000A2D7D">
        <w:rPr>
          <w:noProof/>
          <w:sz w:val="24"/>
          <w:szCs w:val="24"/>
        </w:rPr>
        <w:drawing>
          <wp:inline distT="0" distB="0" distL="0" distR="0" wp14:anchorId="362DC7BD" wp14:editId="7DC63EC6">
            <wp:extent cx="4770120" cy="2804994"/>
            <wp:effectExtent l="0" t="0" r="0" b="0"/>
            <wp:docPr id="1633342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342197" name=""/>
                    <pic:cNvPicPr/>
                  </pic:nvPicPr>
                  <pic:blipFill>
                    <a:blip r:embed="rId11"/>
                    <a:stretch>
                      <a:fillRect/>
                    </a:stretch>
                  </pic:blipFill>
                  <pic:spPr>
                    <a:xfrm>
                      <a:off x="0" y="0"/>
                      <a:ext cx="4777334" cy="2809236"/>
                    </a:xfrm>
                    <a:prstGeom prst="rect">
                      <a:avLst/>
                    </a:prstGeom>
                  </pic:spPr>
                </pic:pic>
              </a:graphicData>
            </a:graphic>
          </wp:inline>
        </w:drawing>
      </w:r>
    </w:p>
    <w:p w14:paraId="636EA1B5" w14:textId="77777777" w:rsidR="006A5EB2" w:rsidRDefault="00E35EE4">
      <w:pPr>
        <w:spacing w:line="480" w:lineRule="auto"/>
        <w:jc w:val="center"/>
      </w:pPr>
      <w:r>
        <w:rPr>
          <w:i/>
          <w:sz w:val="24"/>
          <w:szCs w:val="24"/>
        </w:rPr>
        <w:t>Source: 2025 State of the Market Report, Figure 29 (Annual Probability of Firm Load Shed vs. Entering Watch Conditions).</w:t>
      </w:r>
    </w:p>
    <w:p w14:paraId="667FFD34" w14:textId="4D5CD035" w:rsidR="00762F8E" w:rsidRDefault="00FA7A36" w:rsidP="00526470">
      <w:pPr>
        <w:spacing w:line="480" w:lineRule="auto"/>
        <w:jc w:val="both"/>
        <w:rPr>
          <w:sz w:val="24"/>
          <w:szCs w:val="24"/>
        </w:rPr>
      </w:pPr>
      <w:r>
        <w:rPr>
          <w:sz w:val="24"/>
          <w:szCs w:val="24"/>
        </w:rPr>
        <w:lastRenderedPageBreak/>
        <w:t xml:space="preserve">The ERCOT Proposal amount reflects closely ERCOT’s conservative operations </w:t>
      </w:r>
      <w:r w:rsidR="00C9762A">
        <w:rPr>
          <w:sz w:val="24"/>
          <w:szCs w:val="24"/>
        </w:rPr>
        <w:t xml:space="preserve">to avoid declaring a “Watch” </w:t>
      </w:r>
      <w:r w:rsidR="00BC3DC7">
        <w:rPr>
          <w:sz w:val="24"/>
          <w:szCs w:val="24"/>
        </w:rPr>
        <w:t xml:space="preserve">and committing additional resources through RUC (this </w:t>
      </w:r>
      <w:r w:rsidR="00452CA6">
        <w:rPr>
          <w:sz w:val="24"/>
          <w:szCs w:val="24"/>
        </w:rPr>
        <w:t xml:space="preserve">amount is prior to arbitrary </w:t>
      </w:r>
      <w:r w:rsidR="00E91BF5">
        <w:rPr>
          <w:sz w:val="24"/>
          <w:szCs w:val="24"/>
        </w:rPr>
        <w:t xml:space="preserve">reduction for </w:t>
      </w:r>
      <w:r w:rsidR="00452CA6">
        <w:rPr>
          <w:sz w:val="24"/>
          <w:szCs w:val="24"/>
        </w:rPr>
        <w:t xml:space="preserve">“risk credits”). </w:t>
      </w:r>
      <w:r w:rsidR="006D44A9">
        <w:rPr>
          <w:sz w:val="24"/>
          <w:szCs w:val="24"/>
        </w:rPr>
        <w:t>The dotted blue vertical line in the graph represents</w:t>
      </w:r>
      <w:r w:rsidR="00BE3B03">
        <w:rPr>
          <w:sz w:val="24"/>
          <w:szCs w:val="24"/>
        </w:rPr>
        <w:t xml:space="preserve"> the ECRS and Non-Spin quantities needed to ensure </w:t>
      </w:r>
      <w:r>
        <w:rPr>
          <w:sz w:val="24"/>
          <w:szCs w:val="24"/>
        </w:rPr>
        <w:t xml:space="preserve">firm load shed </w:t>
      </w:r>
      <w:r w:rsidR="00BE3B03">
        <w:rPr>
          <w:sz w:val="24"/>
          <w:szCs w:val="24"/>
        </w:rPr>
        <w:t xml:space="preserve">has at most a 0.1 annual probability of occurring </w:t>
      </w:r>
      <w:r>
        <w:rPr>
          <w:sz w:val="24"/>
          <w:szCs w:val="24"/>
        </w:rPr>
        <w:t xml:space="preserve">– </w:t>
      </w:r>
      <w:r w:rsidR="00BB7AB4">
        <w:rPr>
          <w:sz w:val="24"/>
          <w:szCs w:val="24"/>
        </w:rPr>
        <w:t xml:space="preserve">given ERCOT’s conservative operations, </w:t>
      </w:r>
      <w:r w:rsidR="00012DBD">
        <w:rPr>
          <w:sz w:val="24"/>
          <w:szCs w:val="24"/>
        </w:rPr>
        <w:t xml:space="preserve">setting </w:t>
      </w:r>
      <w:r w:rsidR="006C7357">
        <w:rPr>
          <w:sz w:val="24"/>
          <w:szCs w:val="24"/>
        </w:rPr>
        <w:t xml:space="preserve">ECRS and Non-Spin quantities using that criteria would result </w:t>
      </w:r>
      <w:r w:rsidR="00012493">
        <w:rPr>
          <w:sz w:val="24"/>
          <w:szCs w:val="24"/>
        </w:rPr>
        <w:t>in suppressed prices and increased reliance o</w:t>
      </w:r>
      <w:r w:rsidR="000B5213">
        <w:rPr>
          <w:sz w:val="24"/>
          <w:szCs w:val="24"/>
        </w:rPr>
        <w:t>n</w:t>
      </w:r>
      <w:r w:rsidR="00012493">
        <w:rPr>
          <w:sz w:val="24"/>
          <w:szCs w:val="24"/>
        </w:rPr>
        <w:t xml:space="preserve"> out-of-market </w:t>
      </w:r>
      <w:r w:rsidR="00EB50E0">
        <w:rPr>
          <w:sz w:val="24"/>
          <w:szCs w:val="24"/>
        </w:rPr>
        <w:t xml:space="preserve">actions (e.g., RUC) rather than </w:t>
      </w:r>
      <w:r w:rsidR="00F70602">
        <w:rPr>
          <w:sz w:val="24"/>
          <w:szCs w:val="24"/>
        </w:rPr>
        <w:t xml:space="preserve">proper price formation to incentivize </w:t>
      </w:r>
      <w:r w:rsidR="00AF673D">
        <w:rPr>
          <w:sz w:val="24"/>
          <w:szCs w:val="24"/>
        </w:rPr>
        <w:t>market operations and investment decisions</w:t>
      </w:r>
      <w:r w:rsidR="007B64DB">
        <w:rPr>
          <w:sz w:val="24"/>
          <w:szCs w:val="24"/>
        </w:rPr>
        <w:t xml:space="preserve"> consistent with current ERCOT operational practices</w:t>
      </w:r>
      <w:r w:rsidR="00AF673D">
        <w:rPr>
          <w:sz w:val="24"/>
          <w:szCs w:val="24"/>
        </w:rPr>
        <w:t xml:space="preserve">. </w:t>
      </w:r>
      <w:r>
        <w:rPr>
          <w:sz w:val="24"/>
          <w:szCs w:val="24"/>
        </w:rPr>
        <w:t xml:space="preserve"> That quantity is approximately 2.1 GW, and the ERCOT Proposal line sits at approximately 5.1 GW; the difference between the two is the “140% increase” the IMM annotates on the figure.</w:t>
      </w:r>
    </w:p>
    <w:p w14:paraId="492CAACA" w14:textId="20DD82D0" w:rsidR="006A5EB2" w:rsidRDefault="00E35EE4">
      <w:pPr>
        <w:spacing w:line="480" w:lineRule="auto"/>
        <w:ind w:firstLine="720"/>
        <w:jc w:val="both"/>
      </w:pPr>
      <w:r>
        <w:rPr>
          <w:sz w:val="24"/>
          <w:szCs w:val="24"/>
        </w:rPr>
        <w:t xml:space="preserve">HEN and the IMM do not disagree about the modelling; they disagree about the criterion. The IMM would size ECRS and Non-Spin against the probability of firm load shed. ERCOT sizes them against the probability of entering a Watch and having to commit units through RUC </w:t>
      </w:r>
      <w:r w:rsidR="00E21DA0">
        <w:rPr>
          <w:sz w:val="24"/>
          <w:szCs w:val="24"/>
        </w:rPr>
        <w:t xml:space="preserve">– </w:t>
      </w:r>
      <w:r>
        <w:rPr>
          <w:sz w:val="24"/>
          <w:szCs w:val="24"/>
        </w:rPr>
        <w:t xml:space="preserve">which is what ERCOT </w:t>
      </w:r>
      <w:proofErr w:type="gramStart"/>
      <w:r>
        <w:rPr>
          <w:sz w:val="24"/>
          <w:szCs w:val="24"/>
        </w:rPr>
        <w:t>actually does</w:t>
      </w:r>
      <w:proofErr w:type="gramEnd"/>
      <w:r>
        <w:rPr>
          <w:sz w:val="24"/>
          <w:szCs w:val="24"/>
        </w:rPr>
        <w:t xml:space="preserve"> in operations. Calibrating procurement to the load-shed criterion while operating to the Watch criterion is precisely the disconnect at issue: it guarantees that the quantity procured, and therefore the price formed, will understate what ERCOT’s own operating practice requires, and it shifts the difference into out-of-market commitment that no price reflects. The right response to </w:t>
      </w:r>
      <w:r w:rsidR="00EA3709">
        <w:rPr>
          <w:sz w:val="24"/>
          <w:szCs w:val="24"/>
        </w:rPr>
        <w:t>the IMM</w:t>
      </w:r>
      <w:r>
        <w:rPr>
          <w:sz w:val="24"/>
          <w:szCs w:val="24"/>
        </w:rPr>
        <w:t>’s concern that quantities are too high is to correct the operating practice or to justify it, not to price the system as though the practice did not exist.</w:t>
      </w:r>
    </w:p>
    <w:p w14:paraId="2B955563" w14:textId="738C08B1" w:rsidR="004B3D44" w:rsidRDefault="00E321CD" w:rsidP="00762F8E">
      <w:pPr>
        <w:spacing w:line="480" w:lineRule="auto"/>
        <w:ind w:firstLine="720"/>
        <w:jc w:val="both"/>
        <w:rPr>
          <w:sz w:val="24"/>
          <w:szCs w:val="24"/>
        </w:rPr>
      </w:pPr>
      <w:r>
        <w:rPr>
          <w:sz w:val="24"/>
          <w:szCs w:val="24"/>
        </w:rPr>
        <w:t xml:space="preserve">The </w:t>
      </w:r>
      <w:r w:rsidR="00E91BF5">
        <w:rPr>
          <w:sz w:val="24"/>
          <w:szCs w:val="24"/>
        </w:rPr>
        <w:t xml:space="preserve">“missing money” </w:t>
      </w:r>
      <w:r>
        <w:rPr>
          <w:sz w:val="24"/>
          <w:szCs w:val="24"/>
        </w:rPr>
        <w:t xml:space="preserve">problem is clearly illustrated in Figure 57 of the 2025 SOM Report, where the Cost of New Entry (CONE) is drawn at $105/kW-year </w:t>
      </w:r>
      <w:r w:rsidR="00E21DA0">
        <w:rPr>
          <w:sz w:val="24"/>
          <w:szCs w:val="24"/>
        </w:rPr>
        <w:t>–</w:t>
      </w:r>
      <w:r>
        <w:rPr>
          <w:sz w:val="24"/>
          <w:szCs w:val="24"/>
        </w:rPr>
        <w:t xml:space="preserve"> the administrative CONE embedded in the Peaker Net Margin threshold </w:t>
      </w:r>
      <w:r w:rsidR="00E21DA0">
        <w:rPr>
          <w:sz w:val="24"/>
          <w:szCs w:val="24"/>
        </w:rPr>
        <w:t>–</w:t>
      </w:r>
      <w:r>
        <w:rPr>
          <w:sz w:val="24"/>
          <w:szCs w:val="24"/>
        </w:rPr>
        <w:t xml:space="preserve"> whereas the nominal levelized CONE for a 2026 </w:t>
      </w:r>
      <w:r>
        <w:rPr>
          <w:sz w:val="24"/>
          <w:szCs w:val="24"/>
        </w:rPr>
        <w:lastRenderedPageBreak/>
        <w:t>online year is $293/kW-year</w:t>
      </w:r>
      <w:r w:rsidR="00EF4CC0">
        <w:rPr>
          <w:rStyle w:val="FootnoteReference"/>
          <w:sz w:val="24"/>
          <w:szCs w:val="24"/>
        </w:rPr>
        <w:footnoteReference w:id="3"/>
      </w:r>
      <w:r>
        <w:rPr>
          <w:sz w:val="24"/>
          <w:szCs w:val="24"/>
        </w:rPr>
        <w:t>. At that value, Peaker Net Margin fell below CONE in every year shown except 2021</w:t>
      </w:r>
      <w:r w:rsidR="00750C2C">
        <w:rPr>
          <w:sz w:val="24"/>
          <w:szCs w:val="24"/>
        </w:rPr>
        <w:t>:</w:t>
      </w:r>
    </w:p>
    <w:p w14:paraId="58454897" w14:textId="77777777" w:rsidR="00750C2C" w:rsidRDefault="004B3D44">
      <w:pPr>
        <w:spacing w:line="480" w:lineRule="auto"/>
        <w:ind w:firstLine="720"/>
        <w:jc w:val="both"/>
        <w:rPr>
          <w:sz w:val="24"/>
          <w:szCs w:val="24"/>
        </w:rPr>
      </w:pPr>
      <w:r w:rsidRPr="004B3D44">
        <w:rPr>
          <w:noProof/>
          <w:sz w:val="24"/>
          <w:szCs w:val="24"/>
        </w:rPr>
        <w:drawing>
          <wp:inline distT="0" distB="0" distL="0" distR="0" wp14:anchorId="6DEC63D3" wp14:editId="76D53231">
            <wp:extent cx="4511040" cy="2964949"/>
            <wp:effectExtent l="0" t="0" r="3810" b="6985"/>
            <wp:docPr id="811402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402961" name=""/>
                    <pic:cNvPicPr/>
                  </pic:nvPicPr>
                  <pic:blipFill>
                    <a:blip r:embed="rId12"/>
                    <a:stretch>
                      <a:fillRect/>
                    </a:stretch>
                  </pic:blipFill>
                  <pic:spPr>
                    <a:xfrm>
                      <a:off x="0" y="0"/>
                      <a:ext cx="4517911" cy="2969465"/>
                    </a:xfrm>
                    <a:prstGeom prst="rect">
                      <a:avLst/>
                    </a:prstGeom>
                  </pic:spPr>
                </pic:pic>
              </a:graphicData>
            </a:graphic>
          </wp:inline>
        </w:drawing>
      </w:r>
    </w:p>
    <w:p w14:paraId="47CE7ED2" w14:textId="77777777" w:rsidR="006A5EB2" w:rsidRDefault="00E35EE4">
      <w:pPr>
        <w:spacing w:line="480" w:lineRule="auto"/>
        <w:jc w:val="center"/>
      </w:pPr>
      <w:r>
        <w:rPr>
          <w:i/>
          <w:sz w:val="24"/>
          <w:szCs w:val="24"/>
        </w:rPr>
        <w:t>Source: 2025 State of the Market Report, Figure 57 (Peaker Net Margin, 2019–2025).</w:t>
      </w:r>
    </w:p>
    <w:p w14:paraId="626219C9" w14:textId="7C14F3A5" w:rsidR="00D74D4B" w:rsidRDefault="00C81300">
      <w:pPr>
        <w:spacing w:line="480" w:lineRule="auto"/>
        <w:ind w:firstLine="720"/>
        <w:jc w:val="both"/>
        <w:rPr>
          <w:sz w:val="24"/>
          <w:szCs w:val="24"/>
        </w:rPr>
      </w:pPr>
      <w:r>
        <w:rPr>
          <w:sz w:val="24"/>
          <w:szCs w:val="24"/>
        </w:rPr>
        <w:t>Under-procurement of ECRS and Non-Spin by “risk credit” amounts is reflected in the Ancillary Service Demand Curves: for the quantity removed, the curve falls from the $15 per MW-hour floor adopted under NPRR1269 to pennies, in both the Day-Ahead and Real-Time Markets. The $15</w:t>
      </w:r>
      <w:r w:rsidR="00BE3B03">
        <w:rPr>
          <w:sz w:val="24"/>
          <w:szCs w:val="24"/>
        </w:rPr>
        <w:t>/MW-hour</w:t>
      </w:r>
      <w:r>
        <w:rPr>
          <w:sz w:val="24"/>
          <w:szCs w:val="24"/>
        </w:rPr>
        <w:t xml:space="preserve"> is a floor on the demand curves rather than on Ancillary Service prices </w:t>
      </w:r>
      <w:r w:rsidR="004641C1">
        <w:rPr>
          <w:sz w:val="24"/>
          <w:szCs w:val="24"/>
        </w:rPr>
        <w:t xml:space="preserve">– </w:t>
      </w:r>
      <w:r>
        <w:rPr>
          <w:sz w:val="24"/>
          <w:szCs w:val="24"/>
        </w:rPr>
        <w:t>where offers and Resource capability are sufficient, offers set the price</w:t>
      </w:r>
      <w:r w:rsidR="004641C1">
        <w:rPr>
          <w:sz w:val="24"/>
          <w:szCs w:val="24"/>
        </w:rPr>
        <w:t xml:space="preserve"> –</w:t>
      </w:r>
      <w:r>
        <w:rPr>
          <w:sz w:val="24"/>
          <w:szCs w:val="24"/>
        </w:rPr>
        <w:t xml:space="preserve"> and its measured effect is modest: ERCOT’s own impact study found that the floor set the ECRS or Non-Spin price in only 177 of approximately 12,000 intervals and moved average energy prices by $0.34 per MWh. That modest effect is not a reason to discount the change. As ERCOT itself has explained, “a floor on an ASDC then represents a maximum price that is willing to be paid to achieve the full Ancillary Service Plan.” The floor therefore already caps what the market will pay to procure the full AS </w:t>
      </w:r>
      <w:r>
        <w:rPr>
          <w:sz w:val="24"/>
          <w:szCs w:val="24"/>
        </w:rPr>
        <w:lastRenderedPageBreak/>
        <w:t>Plan; reducing the Plan quantity by a risk credit removes the quantity that sits on that cap, in a post-RTC market where Ancillary Service prices have been very low to begin with.</w:t>
      </w:r>
      <w:r>
        <w:rPr>
          <w:rStyle w:val="FootnoteReference"/>
          <w:sz w:val="24"/>
          <w:szCs w:val="24"/>
        </w:rPr>
        <w:footnoteReference w:id="4"/>
      </w:r>
      <w:r w:rsidR="00E914DE">
        <w:rPr>
          <w:sz w:val="24"/>
          <w:szCs w:val="24"/>
        </w:rPr>
        <w:t xml:space="preserve"> </w:t>
      </w:r>
    </w:p>
    <w:p w14:paraId="0A98B2ED" w14:textId="4B2E239F" w:rsidR="00FC7823" w:rsidRDefault="00962987">
      <w:pPr>
        <w:spacing w:line="480" w:lineRule="auto"/>
        <w:ind w:firstLine="720"/>
        <w:jc w:val="both"/>
        <w:rPr>
          <w:sz w:val="24"/>
          <w:szCs w:val="24"/>
        </w:rPr>
      </w:pPr>
      <w:r>
        <w:rPr>
          <w:sz w:val="24"/>
          <w:szCs w:val="24"/>
        </w:rPr>
        <w:t xml:space="preserve">For proper price formation, </w:t>
      </w:r>
      <w:r w:rsidR="00250D08">
        <w:rPr>
          <w:sz w:val="24"/>
          <w:szCs w:val="24"/>
        </w:rPr>
        <w:t xml:space="preserve">the AS quantities and ASDCs must reflect ERCOT’s operational </w:t>
      </w:r>
      <w:r w:rsidR="00E34552">
        <w:rPr>
          <w:sz w:val="24"/>
          <w:szCs w:val="24"/>
        </w:rPr>
        <w:t xml:space="preserve">realities. </w:t>
      </w:r>
      <w:r w:rsidR="003858D6">
        <w:rPr>
          <w:sz w:val="24"/>
          <w:szCs w:val="24"/>
        </w:rPr>
        <w:t xml:space="preserve">Winter Storm Uri </w:t>
      </w:r>
      <w:r w:rsidR="00414F59">
        <w:rPr>
          <w:sz w:val="24"/>
          <w:szCs w:val="24"/>
        </w:rPr>
        <w:t>more than justifie</w:t>
      </w:r>
      <w:r w:rsidR="008A32E3">
        <w:rPr>
          <w:sz w:val="24"/>
          <w:szCs w:val="24"/>
        </w:rPr>
        <w:t>s</w:t>
      </w:r>
      <w:r w:rsidR="00414F59">
        <w:rPr>
          <w:sz w:val="24"/>
          <w:szCs w:val="24"/>
        </w:rPr>
        <w:t xml:space="preserve"> the conservative operations </w:t>
      </w:r>
      <w:r w:rsidR="005339D8">
        <w:rPr>
          <w:sz w:val="24"/>
          <w:szCs w:val="24"/>
        </w:rPr>
        <w:t xml:space="preserve">that ERCOT still operates under. </w:t>
      </w:r>
      <w:r w:rsidR="00AC0099">
        <w:rPr>
          <w:sz w:val="24"/>
          <w:szCs w:val="24"/>
        </w:rPr>
        <w:t xml:space="preserve">The critical </w:t>
      </w:r>
      <w:r w:rsidR="00050024">
        <w:rPr>
          <w:sz w:val="24"/>
          <w:szCs w:val="24"/>
        </w:rPr>
        <w:t xml:space="preserve">problem is when there is a </w:t>
      </w:r>
      <w:r w:rsidR="00AC0099">
        <w:rPr>
          <w:sz w:val="24"/>
          <w:szCs w:val="24"/>
        </w:rPr>
        <w:t xml:space="preserve">disconnect between </w:t>
      </w:r>
      <w:r w:rsidR="008A32E3">
        <w:rPr>
          <w:sz w:val="24"/>
          <w:szCs w:val="24"/>
        </w:rPr>
        <w:t>conservative</w:t>
      </w:r>
      <w:r w:rsidR="00E92CE4">
        <w:rPr>
          <w:sz w:val="24"/>
          <w:szCs w:val="24"/>
        </w:rPr>
        <w:t xml:space="preserve"> operations and the </w:t>
      </w:r>
      <w:r w:rsidR="00F244CB">
        <w:rPr>
          <w:sz w:val="24"/>
          <w:szCs w:val="24"/>
        </w:rPr>
        <w:t xml:space="preserve">ASDCs and </w:t>
      </w:r>
      <w:r w:rsidR="00E92CE4">
        <w:rPr>
          <w:sz w:val="24"/>
          <w:szCs w:val="24"/>
        </w:rPr>
        <w:t>minimum quantities of AS procured</w:t>
      </w:r>
      <w:r w:rsidR="00C16B22">
        <w:rPr>
          <w:sz w:val="24"/>
          <w:szCs w:val="24"/>
        </w:rPr>
        <w:t xml:space="preserve">. It is essential in ERCOT’s </w:t>
      </w:r>
      <w:r w:rsidR="001607B3">
        <w:rPr>
          <w:sz w:val="24"/>
          <w:szCs w:val="24"/>
        </w:rPr>
        <w:t>e</w:t>
      </w:r>
      <w:r w:rsidR="00C16B22">
        <w:rPr>
          <w:sz w:val="24"/>
          <w:szCs w:val="24"/>
        </w:rPr>
        <w:t>nergy-</w:t>
      </w:r>
      <w:r w:rsidR="001607B3">
        <w:rPr>
          <w:sz w:val="24"/>
          <w:szCs w:val="24"/>
        </w:rPr>
        <w:t>o</w:t>
      </w:r>
      <w:r w:rsidR="00C16B22">
        <w:rPr>
          <w:sz w:val="24"/>
          <w:szCs w:val="24"/>
        </w:rPr>
        <w:t xml:space="preserve">nly </w:t>
      </w:r>
      <w:r w:rsidR="001607B3">
        <w:rPr>
          <w:sz w:val="24"/>
          <w:szCs w:val="24"/>
        </w:rPr>
        <w:t>m</w:t>
      </w:r>
      <w:r w:rsidR="00C16B22">
        <w:rPr>
          <w:sz w:val="24"/>
          <w:szCs w:val="24"/>
        </w:rPr>
        <w:t xml:space="preserve">arket to </w:t>
      </w:r>
      <w:r w:rsidR="001467E5">
        <w:rPr>
          <w:sz w:val="24"/>
          <w:szCs w:val="24"/>
        </w:rPr>
        <w:t xml:space="preserve">have operational realities properly reflected in </w:t>
      </w:r>
      <w:r w:rsidR="000E3F11">
        <w:rPr>
          <w:sz w:val="24"/>
          <w:szCs w:val="24"/>
        </w:rPr>
        <w:t>ASDCs and AS quantities to en</w:t>
      </w:r>
      <w:r w:rsidR="00900691">
        <w:rPr>
          <w:sz w:val="24"/>
          <w:szCs w:val="24"/>
        </w:rPr>
        <w:t xml:space="preserve">sure proper price formation. </w:t>
      </w:r>
      <w:r w:rsidR="001A35BD">
        <w:rPr>
          <w:sz w:val="24"/>
          <w:szCs w:val="24"/>
        </w:rPr>
        <w:t xml:space="preserve">ERCOT determines </w:t>
      </w:r>
      <w:r w:rsidR="0011358C">
        <w:rPr>
          <w:sz w:val="24"/>
          <w:szCs w:val="24"/>
        </w:rPr>
        <w:t xml:space="preserve">minimum ECRS and Non-Spin quantities based on </w:t>
      </w:r>
      <w:r w:rsidR="008D5230">
        <w:rPr>
          <w:sz w:val="24"/>
          <w:szCs w:val="24"/>
        </w:rPr>
        <w:t xml:space="preserve">avoiding </w:t>
      </w:r>
      <w:r w:rsidR="008043F1">
        <w:rPr>
          <w:sz w:val="24"/>
          <w:szCs w:val="24"/>
        </w:rPr>
        <w:t xml:space="preserve">a “Watch” and </w:t>
      </w:r>
      <w:r w:rsidR="008D5230">
        <w:rPr>
          <w:sz w:val="24"/>
          <w:szCs w:val="24"/>
        </w:rPr>
        <w:t>RUC under ERCOT’s conservative operations</w:t>
      </w:r>
      <w:r w:rsidR="00B06820">
        <w:rPr>
          <w:sz w:val="24"/>
          <w:szCs w:val="24"/>
        </w:rPr>
        <w:t xml:space="preserve"> – which is the correct criteria. However, ERCOT then reduces that quantity by a “risk credit” </w:t>
      </w:r>
      <w:r w:rsidR="004641C1">
        <w:rPr>
          <w:sz w:val="24"/>
          <w:szCs w:val="24"/>
        </w:rPr>
        <w:t>–</w:t>
      </w:r>
      <w:r w:rsidR="00B06820">
        <w:rPr>
          <w:sz w:val="24"/>
          <w:szCs w:val="24"/>
        </w:rPr>
        <w:t xml:space="preserve"> historically available 30-minute online headroom that is sustainable for four hours, together with offline capacity that can be brought online within 30 minutes, in each case excluding capacity already carrying an Ancillary Service obligation. HEN’s objection is to the </w:t>
      </w:r>
      <w:r w:rsidR="006A777D">
        <w:rPr>
          <w:sz w:val="24"/>
          <w:szCs w:val="24"/>
        </w:rPr>
        <w:t xml:space="preserve">very </w:t>
      </w:r>
      <w:r w:rsidR="00B06820">
        <w:rPr>
          <w:sz w:val="24"/>
          <w:szCs w:val="24"/>
        </w:rPr>
        <w:t xml:space="preserve">existence of the credit rather than to its size. </w:t>
      </w:r>
      <w:r w:rsidR="00B670BE">
        <w:rPr>
          <w:sz w:val="24"/>
          <w:szCs w:val="24"/>
        </w:rPr>
        <w:t>T</w:t>
      </w:r>
      <w:r w:rsidR="00085272">
        <w:rPr>
          <w:sz w:val="24"/>
          <w:szCs w:val="24"/>
        </w:rPr>
        <w:t xml:space="preserve">his issue, along with proper ASDCs to reflect conservative operations, </w:t>
      </w:r>
      <w:r w:rsidR="00676285">
        <w:rPr>
          <w:sz w:val="24"/>
          <w:szCs w:val="24"/>
        </w:rPr>
        <w:t>are essential to proper price formation in the ERCOT energy-only market</w:t>
      </w:r>
      <w:r w:rsidR="00097C2E">
        <w:rPr>
          <w:sz w:val="24"/>
          <w:szCs w:val="24"/>
        </w:rPr>
        <w:t>.</w:t>
      </w:r>
    </w:p>
    <w:p w14:paraId="4559489E" w14:textId="70EEB332" w:rsidR="001421FA" w:rsidRDefault="00E35EE4">
      <w:pPr>
        <w:spacing w:line="480" w:lineRule="auto"/>
        <w:ind w:firstLine="720"/>
        <w:jc w:val="both"/>
      </w:pPr>
      <w:r>
        <w:rPr>
          <w:sz w:val="24"/>
          <w:szCs w:val="24"/>
        </w:rPr>
        <w:t xml:space="preserve">ERCOT's </w:t>
      </w:r>
      <w:r w:rsidR="00676285">
        <w:rPr>
          <w:sz w:val="24"/>
          <w:szCs w:val="24"/>
        </w:rPr>
        <w:t>2027 Ancillary Service Methodology</w:t>
      </w:r>
      <w:r>
        <w:rPr>
          <w:sz w:val="24"/>
          <w:szCs w:val="24"/>
        </w:rPr>
        <w:t xml:space="preserve"> does not </w:t>
      </w:r>
      <w:r w:rsidR="00676285">
        <w:rPr>
          <w:sz w:val="24"/>
          <w:szCs w:val="24"/>
        </w:rPr>
        <w:t>quantify or even consider</w:t>
      </w:r>
      <w:r w:rsidR="00673D6B">
        <w:rPr>
          <w:sz w:val="24"/>
          <w:szCs w:val="24"/>
        </w:rPr>
        <w:t xml:space="preserve"> the significant </w:t>
      </w:r>
      <w:r w:rsidR="00671D4E">
        <w:rPr>
          <w:sz w:val="24"/>
          <w:szCs w:val="24"/>
        </w:rPr>
        <w:t xml:space="preserve">harm to proper price formation </w:t>
      </w:r>
      <w:r w:rsidR="002F60E7">
        <w:rPr>
          <w:sz w:val="24"/>
          <w:szCs w:val="24"/>
        </w:rPr>
        <w:t>from</w:t>
      </w:r>
      <w:r w:rsidR="00676285">
        <w:rPr>
          <w:sz w:val="24"/>
          <w:szCs w:val="24"/>
        </w:rPr>
        <w:t xml:space="preserve"> reducing </w:t>
      </w:r>
      <w:r w:rsidR="00596B1F">
        <w:rPr>
          <w:sz w:val="24"/>
          <w:szCs w:val="24"/>
        </w:rPr>
        <w:t>minimum AS quantities by an arbitrary “risk credit” amount</w:t>
      </w:r>
      <w:r>
        <w:rPr>
          <w:sz w:val="24"/>
          <w:szCs w:val="24"/>
        </w:rPr>
        <w:t xml:space="preserve">. </w:t>
      </w:r>
      <w:r w:rsidRPr="00940709">
        <w:rPr>
          <w:b/>
          <w:bCs/>
          <w:i/>
          <w:iCs/>
          <w:sz w:val="24"/>
          <w:szCs w:val="24"/>
        </w:rPr>
        <w:t>In an energy-only market,</w:t>
      </w:r>
      <w:r>
        <w:rPr>
          <w:sz w:val="24"/>
          <w:szCs w:val="24"/>
        </w:rPr>
        <w:t xml:space="preserve"> </w:t>
      </w:r>
      <w:r w:rsidRPr="00940709">
        <w:rPr>
          <w:b/>
          <w:bCs/>
          <w:i/>
          <w:iCs/>
          <w:sz w:val="24"/>
          <w:szCs w:val="24"/>
        </w:rPr>
        <w:t xml:space="preserve">the price signal </w:t>
      </w:r>
      <w:r w:rsidRPr="00940709">
        <w:rPr>
          <w:b/>
          <w:bCs/>
          <w:i/>
          <w:iCs/>
          <w:sz w:val="24"/>
          <w:szCs w:val="24"/>
          <w:u w:val="single"/>
        </w:rPr>
        <w:t>is</w:t>
      </w:r>
      <w:r w:rsidRPr="00940709">
        <w:rPr>
          <w:b/>
          <w:bCs/>
          <w:i/>
          <w:iCs/>
          <w:sz w:val="24"/>
          <w:szCs w:val="24"/>
        </w:rPr>
        <w:t xml:space="preserve"> the reliability program</w:t>
      </w:r>
      <w:r>
        <w:rPr>
          <w:sz w:val="24"/>
          <w:szCs w:val="24"/>
        </w:rPr>
        <w:t xml:space="preserve">. Degrading </w:t>
      </w:r>
      <w:r w:rsidR="00B14FFC">
        <w:rPr>
          <w:sz w:val="24"/>
          <w:szCs w:val="24"/>
        </w:rPr>
        <w:t>market price signals</w:t>
      </w:r>
      <w:r>
        <w:rPr>
          <w:sz w:val="24"/>
          <w:szCs w:val="24"/>
        </w:rPr>
        <w:t xml:space="preserve"> reduces the incentive to commit</w:t>
      </w:r>
      <w:r w:rsidR="002E6F4E">
        <w:rPr>
          <w:sz w:val="24"/>
          <w:szCs w:val="24"/>
        </w:rPr>
        <w:t xml:space="preserve"> </w:t>
      </w:r>
      <w:r w:rsidR="00F7441D">
        <w:rPr>
          <w:sz w:val="24"/>
          <w:szCs w:val="24"/>
        </w:rPr>
        <w:t>and increase availability</w:t>
      </w:r>
      <w:r>
        <w:rPr>
          <w:sz w:val="24"/>
          <w:szCs w:val="24"/>
        </w:rPr>
        <w:t xml:space="preserve"> and to </w:t>
      </w:r>
      <w:r>
        <w:rPr>
          <w:sz w:val="24"/>
          <w:szCs w:val="24"/>
        </w:rPr>
        <w:lastRenderedPageBreak/>
        <w:t xml:space="preserve">build precisely the dispatchable capability </w:t>
      </w:r>
      <w:r w:rsidR="00F7441D">
        <w:rPr>
          <w:sz w:val="24"/>
          <w:szCs w:val="24"/>
        </w:rPr>
        <w:t>ERCOT</w:t>
      </w:r>
      <w:r w:rsidR="00940709">
        <w:rPr>
          <w:sz w:val="24"/>
          <w:szCs w:val="24"/>
        </w:rPr>
        <w:t xml:space="preserve"> must have.  </w:t>
      </w:r>
      <w:r w:rsidR="00F7441D">
        <w:rPr>
          <w:sz w:val="24"/>
          <w:szCs w:val="24"/>
        </w:rPr>
        <w:t xml:space="preserve">By </w:t>
      </w:r>
      <w:r w:rsidR="00A53587">
        <w:rPr>
          <w:sz w:val="24"/>
          <w:szCs w:val="24"/>
        </w:rPr>
        <w:t xml:space="preserve">committing to minimum AS quantities </w:t>
      </w:r>
      <w:r w:rsidR="00A65925">
        <w:rPr>
          <w:sz w:val="24"/>
          <w:szCs w:val="24"/>
        </w:rPr>
        <w:t xml:space="preserve">as determined to meet </w:t>
      </w:r>
      <w:r w:rsidR="002E472F">
        <w:rPr>
          <w:sz w:val="24"/>
          <w:szCs w:val="24"/>
        </w:rPr>
        <w:t xml:space="preserve">operational </w:t>
      </w:r>
      <w:r w:rsidR="00A65925">
        <w:rPr>
          <w:sz w:val="24"/>
          <w:szCs w:val="24"/>
        </w:rPr>
        <w:t>reliability needs (without ar</w:t>
      </w:r>
      <w:r w:rsidR="001F4B31">
        <w:rPr>
          <w:sz w:val="24"/>
          <w:szCs w:val="24"/>
        </w:rPr>
        <w:t>bitrarily reducing that amount with “risk credits”)</w:t>
      </w:r>
      <w:r w:rsidR="00940709">
        <w:rPr>
          <w:sz w:val="24"/>
          <w:szCs w:val="24"/>
        </w:rPr>
        <w:t xml:space="preserve"> can send the message to investors and to customers that the lights will stay on, affordably, when we have a disciplined, accountable well-run market.  </w:t>
      </w:r>
    </w:p>
    <w:p w14:paraId="783F0D7C" w14:textId="17AB5ECE" w:rsidR="001421FA" w:rsidRDefault="00E35EE4">
      <w:pPr>
        <w:spacing w:before="240" w:line="480" w:lineRule="auto"/>
      </w:pPr>
      <w:r>
        <w:rPr>
          <w:b/>
          <w:bCs/>
          <w:sz w:val="24"/>
          <w:szCs w:val="24"/>
        </w:rPr>
        <w:t>II.  "</w:t>
      </w:r>
      <w:r w:rsidR="00711D6C">
        <w:rPr>
          <w:b/>
          <w:bCs/>
          <w:sz w:val="24"/>
          <w:szCs w:val="24"/>
        </w:rPr>
        <w:t>Risk Credit</w:t>
      </w:r>
      <w:r>
        <w:rPr>
          <w:b/>
          <w:bCs/>
          <w:sz w:val="24"/>
          <w:szCs w:val="24"/>
        </w:rPr>
        <w:t xml:space="preserve">" capacity is not </w:t>
      </w:r>
      <w:r w:rsidR="00B21877">
        <w:rPr>
          <w:b/>
          <w:bCs/>
          <w:sz w:val="24"/>
          <w:szCs w:val="24"/>
        </w:rPr>
        <w:t>“free”</w:t>
      </w:r>
      <w:r>
        <w:rPr>
          <w:b/>
          <w:bCs/>
          <w:sz w:val="24"/>
          <w:szCs w:val="24"/>
        </w:rPr>
        <w:t xml:space="preserve"> reserve</w:t>
      </w:r>
      <w:r w:rsidR="00B21877">
        <w:rPr>
          <w:b/>
          <w:bCs/>
          <w:sz w:val="24"/>
          <w:szCs w:val="24"/>
        </w:rPr>
        <w:t xml:space="preserve"> – rather </w:t>
      </w:r>
      <w:r w:rsidR="00B96B84">
        <w:rPr>
          <w:b/>
          <w:bCs/>
          <w:sz w:val="24"/>
          <w:szCs w:val="24"/>
        </w:rPr>
        <w:t xml:space="preserve">it destroys consistency between </w:t>
      </w:r>
      <w:r w:rsidR="002E7F3B">
        <w:rPr>
          <w:b/>
          <w:bCs/>
          <w:sz w:val="24"/>
          <w:szCs w:val="24"/>
        </w:rPr>
        <w:t>operational reliability and price formation</w:t>
      </w:r>
      <w:r>
        <w:rPr>
          <w:b/>
          <w:bCs/>
          <w:sz w:val="24"/>
          <w:szCs w:val="24"/>
        </w:rPr>
        <w:t>.</w:t>
      </w:r>
      <w:r w:rsidR="00940709">
        <w:rPr>
          <w:b/>
          <w:bCs/>
          <w:sz w:val="24"/>
          <w:szCs w:val="24"/>
        </w:rPr>
        <w:t xml:space="preserve">  </w:t>
      </w:r>
    </w:p>
    <w:p w14:paraId="25F548B5" w14:textId="17BA4DE0" w:rsidR="001421FA" w:rsidRDefault="00E35EE4">
      <w:pPr>
        <w:spacing w:line="480" w:lineRule="auto"/>
        <w:ind w:firstLine="720"/>
        <w:jc w:val="both"/>
      </w:pPr>
      <w:r>
        <w:rPr>
          <w:sz w:val="24"/>
          <w:szCs w:val="24"/>
        </w:rPr>
        <w:t xml:space="preserve">ERCOT does not </w:t>
      </w:r>
      <w:r w:rsidR="00C63BC4">
        <w:rPr>
          <w:sz w:val="24"/>
          <w:szCs w:val="24"/>
        </w:rPr>
        <w:t xml:space="preserve">reduce RRS minimum quantity by counting on </w:t>
      </w:r>
      <w:r w:rsidR="00C2003F">
        <w:rPr>
          <w:sz w:val="24"/>
          <w:szCs w:val="24"/>
        </w:rPr>
        <w:t xml:space="preserve">“risk credits” from historically </w:t>
      </w:r>
      <w:r>
        <w:rPr>
          <w:sz w:val="24"/>
          <w:szCs w:val="24"/>
        </w:rPr>
        <w:t>available headroom</w:t>
      </w:r>
      <w:r w:rsidR="00917451">
        <w:rPr>
          <w:sz w:val="24"/>
          <w:szCs w:val="24"/>
        </w:rPr>
        <w:t xml:space="preserve"> from capacity not </w:t>
      </w:r>
      <w:r w:rsidR="00210449">
        <w:rPr>
          <w:sz w:val="24"/>
          <w:szCs w:val="24"/>
        </w:rPr>
        <w:t>providing</w:t>
      </w:r>
      <w:r w:rsidR="00917451">
        <w:rPr>
          <w:sz w:val="24"/>
          <w:szCs w:val="24"/>
        </w:rPr>
        <w:t xml:space="preserve"> RRS</w:t>
      </w:r>
      <w:r>
        <w:rPr>
          <w:sz w:val="24"/>
          <w:szCs w:val="24"/>
        </w:rPr>
        <w:t xml:space="preserve">, because in the </w:t>
      </w:r>
      <w:r w:rsidR="009168F6">
        <w:rPr>
          <w:sz w:val="24"/>
          <w:szCs w:val="24"/>
        </w:rPr>
        <w:t>tail</w:t>
      </w:r>
      <w:r w:rsidR="00F753A6">
        <w:rPr>
          <w:sz w:val="24"/>
          <w:szCs w:val="24"/>
        </w:rPr>
        <w:t>-</w:t>
      </w:r>
      <w:r w:rsidR="009168F6">
        <w:rPr>
          <w:sz w:val="24"/>
          <w:szCs w:val="24"/>
        </w:rPr>
        <w:t xml:space="preserve">end </w:t>
      </w:r>
      <w:r>
        <w:rPr>
          <w:sz w:val="24"/>
          <w:szCs w:val="24"/>
        </w:rPr>
        <w:t xml:space="preserve">contingency </w:t>
      </w:r>
      <w:r w:rsidR="00210449">
        <w:rPr>
          <w:sz w:val="24"/>
          <w:szCs w:val="24"/>
        </w:rPr>
        <w:t xml:space="preserve">that </w:t>
      </w:r>
      <w:r>
        <w:rPr>
          <w:sz w:val="24"/>
          <w:szCs w:val="24"/>
        </w:rPr>
        <w:t xml:space="preserve">RRS exists to cover, that headroom may not be there. The same discipline should apply to ECRS and Non-Spin. Free capacity is abundant </w:t>
      </w:r>
      <w:r w:rsidR="00E45B7C">
        <w:rPr>
          <w:sz w:val="24"/>
          <w:szCs w:val="24"/>
        </w:rPr>
        <w:t xml:space="preserve">under </w:t>
      </w:r>
      <w:r>
        <w:rPr>
          <w:sz w:val="24"/>
          <w:szCs w:val="24"/>
        </w:rPr>
        <w:t xml:space="preserve">ordinary conditions and least reliable </w:t>
      </w:r>
      <w:r w:rsidR="007A41D1">
        <w:rPr>
          <w:sz w:val="24"/>
          <w:szCs w:val="24"/>
        </w:rPr>
        <w:t>during</w:t>
      </w:r>
      <w:r>
        <w:rPr>
          <w:sz w:val="24"/>
          <w:szCs w:val="24"/>
        </w:rPr>
        <w:t xml:space="preserve"> tail</w:t>
      </w:r>
      <w:r w:rsidR="007A41D1">
        <w:rPr>
          <w:sz w:val="24"/>
          <w:szCs w:val="24"/>
        </w:rPr>
        <w:t>-end scarcity events</w:t>
      </w:r>
      <w:r>
        <w:rPr>
          <w:sz w:val="24"/>
          <w:szCs w:val="24"/>
        </w:rPr>
        <w:t xml:space="preserve">. Crediting it against a reserve requirement converts an insurance product into a bet on a normal year: it destroys any consistency between operational reliability and price formation, and it </w:t>
      </w:r>
      <w:r w:rsidR="00CE7AED">
        <w:rPr>
          <w:sz w:val="24"/>
          <w:szCs w:val="24"/>
        </w:rPr>
        <w:t>suppresses</w:t>
      </w:r>
      <w:r>
        <w:rPr>
          <w:sz w:val="24"/>
          <w:szCs w:val="24"/>
        </w:rPr>
        <w:t xml:space="preserve"> both the real-time signal that reserves that capacity and the forward signal that builds it.</w:t>
      </w:r>
      <w:r w:rsidR="00E63282">
        <w:rPr>
          <w:sz w:val="24"/>
          <w:szCs w:val="24"/>
        </w:rPr>
        <w:t xml:space="preserve"> </w:t>
      </w:r>
      <w:r w:rsidR="00AC65AF">
        <w:rPr>
          <w:sz w:val="24"/>
          <w:szCs w:val="24"/>
        </w:rPr>
        <w:t xml:space="preserve">This inconsistency </w:t>
      </w:r>
      <w:r w:rsidR="00C71556">
        <w:rPr>
          <w:sz w:val="24"/>
          <w:szCs w:val="24"/>
        </w:rPr>
        <w:t xml:space="preserve">leads to </w:t>
      </w:r>
      <w:r w:rsidR="00F912E4">
        <w:rPr>
          <w:sz w:val="24"/>
          <w:szCs w:val="24"/>
        </w:rPr>
        <w:t xml:space="preserve">short- and long-term reliability issues </w:t>
      </w:r>
      <w:r w:rsidR="00AD4BE2">
        <w:rPr>
          <w:sz w:val="24"/>
          <w:szCs w:val="24"/>
        </w:rPr>
        <w:t xml:space="preserve">from market operational and investment </w:t>
      </w:r>
      <w:r w:rsidR="00323017">
        <w:rPr>
          <w:sz w:val="24"/>
          <w:szCs w:val="24"/>
        </w:rPr>
        <w:t xml:space="preserve">price signal suppression </w:t>
      </w:r>
      <w:r w:rsidR="00110280">
        <w:rPr>
          <w:sz w:val="24"/>
          <w:szCs w:val="24"/>
        </w:rPr>
        <w:t xml:space="preserve">– thus resulting in unending dependence </w:t>
      </w:r>
      <w:r w:rsidR="004874AA">
        <w:rPr>
          <w:sz w:val="24"/>
          <w:szCs w:val="24"/>
        </w:rPr>
        <w:t xml:space="preserve">on ERCOT out-of-market actions like RUC. </w:t>
      </w:r>
      <w:r w:rsidR="00E4429F">
        <w:rPr>
          <w:sz w:val="24"/>
          <w:szCs w:val="24"/>
        </w:rPr>
        <w:t xml:space="preserve">ERCOT’s misguided reasoning that under-procurement </w:t>
      </w:r>
      <w:r w:rsidR="00AA0409">
        <w:rPr>
          <w:sz w:val="24"/>
          <w:szCs w:val="24"/>
        </w:rPr>
        <w:t>results in customer cost savings from suppressed prices is certain to result in increased customer costs over time</w:t>
      </w:r>
      <w:r w:rsidR="00155251">
        <w:rPr>
          <w:sz w:val="24"/>
          <w:szCs w:val="24"/>
        </w:rPr>
        <w:t xml:space="preserve"> from </w:t>
      </w:r>
      <w:r w:rsidR="0008730F">
        <w:rPr>
          <w:sz w:val="24"/>
          <w:szCs w:val="24"/>
        </w:rPr>
        <w:t xml:space="preserve">ERCOT out-of-market actions to ensure reliability and </w:t>
      </w:r>
      <w:r w:rsidR="00013BEA">
        <w:rPr>
          <w:sz w:val="24"/>
          <w:szCs w:val="24"/>
        </w:rPr>
        <w:t xml:space="preserve">market decisions that do not support </w:t>
      </w:r>
      <w:r w:rsidR="001A1731">
        <w:rPr>
          <w:sz w:val="24"/>
          <w:szCs w:val="24"/>
        </w:rPr>
        <w:t xml:space="preserve">the </w:t>
      </w:r>
      <w:r w:rsidR="00FA6C56">
        <w:rPr>
          <w:sz w:val="24"/>
          <w:szCs w:val="24"/>
        </w:rPr>
        <w:t xml:space="preserve">desired level of reliability. </w:t>
      </w:r>
    </w:p>
    <w:p w14:paraId="4DF30891" w14:textId="77777777" w:rsidR="001421FA" w:rsidRDefault="00E35EE4">
      <w:pPr>
        <w:spacing w:line="480" w:lineRule="auto"/>
        <w:ind w:firstLine="720"/>
        <w:jc w:val="both"/>
        <w:rPr>
          <w:sz w:val="24"/>
          <w:szCs w:val="24"/>
        </w:rPr>
      </w:pPr>
      <w:r>
        <w:rPr>
          <w:sz w:val="24"/>
          <w:szCs w:val="24"/>
        </w:rPr>
        <w:t>That RUC can backstop reliability is not a defense; it is the problem restated. Substituting out-of-market commitment for the price signal is the outcome an energy-only market is designed to avoid.</w:t>
      </w:r>
    </w:p>
    <w:p w14:paraId="27633279" w14:textId="77777777" w:rsidR="0037044A" w:rsidRDefault="0037044A">
      <w:pPr>
        <w:spacing w:line="480" w:lineRule="auto"/>
        <w:ind w:firstLine="720"/>
        <w:jc w:val="both"/>
      </w:pPr>
    </w:p>
    <w:p w14:paraId="50E2FFEB" w14:textId="6F7F0B19" w:rsidR="001421FA" w:rsidRDefault="003F39DD">
      <w:pPr>
        <w:spacing w:before="240" w:line="480" w:lineRule="auto"/>
      </w:pPr>
      <w:r>
        <w:rPr>
          <w:b/>
          <w:bCs/>
          <w:sz w:val="24"/>
          <w:szCs w:val="24"/>
        </w:rPr>
        <w:lastRenderedPageBreak/>
        <w:t>III. Requested Action.</w:t>
      </w:r>
    </w:p>
    <w:p w14:paraId="6FE934C9" w14:textId="6A0A6769" w:rsidR="001421FA" w:rsidRDefault="00297646" w:rsidP="002329F1">
      <w:pPr>
        <w:spacing w:line="480" w:lineRule="auto"/>
        <w:ind w:firstLine="720"/>
        <w:jc w:val="both"/>
      </w:pPr>
      <w:r>
        <w:rPr>
          <w:sz w:val="24"/>
          <w:szCs w:val="24"/>
        </w:rPr>
        <w:t xml:space="preserve">Modify ERCOT’s proposed </w:t>
      </w:r>
      <w:r w:rsidRPr="00297646">
        <w:rPr>
          <w:sz w:val="24"/>
          <w:szCs w:val="24"/>
        </w:rPr>
        <w:t>2027 Ancillary Services Methodology</w:t>
      </w:r>
      <w:r w:rsidR="005F5069">
        <w:rPr>
          <w:sz w:val="24"/>
          <w:szCs w:val="24"/>
        </w:rPr>
        <w:t xml:space="preserve"> by</w:t>
      </w:r>
      <w:r w:rsidRPr="00297646">
        <w:rPr>
          <w:sz w:val="24"/>
          <w:szCs w:val="24"/>
        </w:rPr>
        <w:t xml:space="preserve"> eliminat</w:t>
      </w:r>
      <w:r w:rsidR="005F5069">
        <w:rPr>
          <w:sz w:val="24"/>
          <w:szCs w:val="24"/>
        </w:rPr>
        <w:t>ing</w:t>
      </w:r>
      <w:r w:rsidRPr="00297646">
        <w:rPr>
          <w:sz w:val="24"/>
          <w:szCs w:val="24"/>
        </w:rPr>
        <w:t xml:space="preserve"> "risk credits" that reduce </w:t>
      </w:r>
      <w:r w:rsidR="005F5069">
        <w:rPr>
          <w:sz w:val="24"/>
          <w:szCs w:val="24"/>
        </w:rPr>
        <w:t xml:space="preserve">minimum AS </w:t>
      </w:r>
      <w:r w:rsidRPr="00297646">
        <w:rPr>
          <w:sz w:val="24"/>
          <w:szCs w:val="24"/>
        </w:rPr>
        <w:t xml:space="preserve">procurement </w:t>
      </w:r>
      <w:r w:rsidR="00BB7EE5">
        <w:rPr>
          <w:sz w:val="24"/>
          <w:szCs w:val="24"/>
        </w:rPr>
        <w:t xml:space="preserve">quantities </w:t>
      </w:r>
      <w:r w:rsidRPr="00297646">
        <w:rPr>
          <w:sz w:val="24"/>
          <w:szCs w:val="24"/>
        </w:rPr>
        <w:t>based on uncommitted capacity that may not be available during the tail events these services exist to cover.</w:t>
      </w:r>
    </w:p>
    <w:sectPr w:rsidR="001421FA">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D616A" w14:textId="77777777" w:rsidR="002F21A4" w:rsidRDefault="002F21A4" w:rsidP="00446BF8">
      <w:r>
        <w:separator/>
      </w:r>
    </w:p>
  </w:endnote>
  <w:endnote w:type="continuationSeparator" w:id="0">
    <w:p w14:paraId="5ABD153E" w14:textId="77777777" w:rsidR="002F21A4" w:rsidRDefault="002F21A4" w:rsidP="0044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88F0F" w14:textId="77777777" w:rsidR="002F21A4" w:rsidRDefault="002F21A4" w:rsidP="00446BF8">
      <w:r>
        <w:separator/>
      </w:r>
    </w:p>
  </w:footnote>
  <w:footnote w:type="continuationSeparator" w:id="0">
    <w:p w14:paraId="3F24609A" w14:textId="77777777" w:rsidR="002F21A4" w:rsidRDefault="002F21A4" w:rsidP="00446BF8">
      <w:r>
        <w:continuationSeparator/>
      </w:r>
    </w:p>
  </w:footnote>
  <w:footnote w:id="1">
    <w:p w14:paraId="0C734717" w14:textId="6E2FBB2D" w:rsidR="006A5EB2" w:rsidRDefault="00E35EE4">
      <w:pPr>
        <w:pStyle w:val="FootnoteText"/>
      </w:pPr>
      <w:r>
        <w:rPr>
          <w:rStyle w:val="FootnoteReference"/>
        </w:rPr>
        <w:footnoteRef/>
      </w:r>
      <w:r>
        <w:t xml:space="preserve"> At its August 29, 2024</w:t>
      </w:r>
      <w:r w:rsidR="009E1425">
        <w:t>,</w:t>
      </w:r>
      <w:r>
        <w:t xml:space="preserve"> open meeting the Commission approved a Value of Lost Load of approximately $35,000/MWh for planning purposes, including the reliability standard assessment. See Review of Value of Lost Load in the ERCOT Market, Project No. 55837; The Brattle Group, Value of Lost Load Study for the ERCOT Region (2024) (ERCOT-wide value for a one-hour outage, $35,685/MWh; survey administered by </w:t>
      </w:r>
      <w:proofErr w:type="spellStart"/>
      <w:r>
        <w:t>PlanBeyond</w:t>
      </w:r>
      <w:proofErr w:type="spellEnd"/>
      <w:r>
        <w:t xml:space="preserve">). The reliability standard rule, 16 TAC §25.508, was adopted by order in Project No. 54584 on September 9, 2024. That VOLL was not adopted for wholesale market pricing; the VOLL underlying the ORDC and the Ancillary Service Demand Curves </w:t>
      </w:r>
      <w:proofErr w:type="gramStart"/>
      <w:r>
        <w:t>remains</w:t>
      </w:r>
      <w:proofErr w:type="gramEnd"/>
      <w:r>
        <w:t xml:space="preserve"> equal to $5,000/MWh. See ERCOT, 2024 Biennial ERCOT Report on the Operating Reserve Demand Curve (November 1, 2024) ("VOLL (currently equal to SWCAP at $5,000/MWh)"). That gap is HEN's point: the Commission has determined what lost load is worth when it plans the system, while the price formation intended to procure that reliability runs on a value roughly one-seventh as large. The IMM recommends the same correction for the ASDCs: "We recommend $35 to $40K per MWh based on recent studies." Potomac Economics, 2025 State of the Market Report for the ERCOT Electricity Markets (June 2026), Executive Summary.</w:t>
      </w:r>
    </w:p>
  </w:footnote>
  <w:footnote w:id="2">
    <w:p w14:paraId="1BB8FC6C" w14:textId="423D2687" w:rsidR="00446BF8" w:rsidRDefault="00446BF8">
      <w:pPr>
        <w:pStyle w:val="FootnoteText"/>
      </w:pPr>
      <w:r>
        <w:rPr>
          <w:rStyle w:val="FootnoteReference"/>
        </w:rPr>
        <w:footnoteRef/>
      </w:r>
      <w:r>
        <w:t xml:space="preserve"> </w:t>
      </w:r>
      <w:r w:rsidR="008E4AD7" w:rsidRPr="008E4AD7">
        <w:t xml:space="preserve">“Focus should be on shortage pricing and new products in-market where needed to provide revenue signals for new investment.” </w:t>
      </w:r>
      <w:r w:rsidR="008E4AD7" w:rsidRPr="008E4AD7">
        <w:rPr>
          <w:i/>
          <w:iCs/>
        </w:rPr>
        <w:t>IMM Report</w:t>
      </w:r>
      <w:r w:rsidR="008E4AD7" w:rsidRPr="008E4AD7">
        <w:t>, ERCOT Board of Directors, Reliability and Markets Committee, Feb 9-10, 2026.</w:t>
      </w:r>
    </w:p>
  </w:footnote>
  <w:footnote w:id="3">
    <w:p w14:paraId="5CBB5A8F" w14:textId="77777777" w:rsidR="00EF4CC0" w:rsidRDefault="00EF4CC0" w:rsidP="00EF4CC0">
      <w:pPr>
        <w:pStyle w:val="FootnoteText"/>
      </w:pPr>
      <w:r>
        <w:rPr>
          <w:rStyle w:val="FootnoteReference"/>
        </w:rPr>
        <w:footnoteRef/>
      </w:r>
      <w:r>
        <w:t xml:space="preserve"> </w:t>
      </w:r>
      <w:r w:rsidRPr="00F2708B">
        <w:rPr>
          <w:i/>
          <w:iCs/>
        </w:rPr>
        <w:t>ERCOT CONE for 2026</w:t>
      </w:r>
      <w:r>
        <w:t>, Brattle Group, June 10, 2024.</w:t>
      </w:r>
    </w:p>
  </w:footnote>
  <w:footnote w:id="4">
    <w:p w14:paraId="3D7AF94C" w14:textId="77777777" w:rsidR="006A5EB2" w:rsidRDefault="00E35EE4">
      <w:pPr>
        <w:pStyle w:val="FootnoteText"/>
      </w:pPr>
      <w:r>
        <w:rPr>
          <w:rStyle w:val="FootnoteReference"/>
        </w:rPr>
        <w:footnoteRef/>
      </w:r>
      <w:r>
        <w:t xml:space="preserve"> NPRR1269, RTC+B Three Parameters Policy Issues (recommended by TAC March 26, 2025; approved by the Commission May 15, </w:t>
      </w:r>
      <w:proofErr w:type="gramStart"/>
      <w:r>
        <w:t>2025</w:t>
      </w:r>
      <w:proofErr w:type="gramEnd"/>
      <w:r>
        <w:t xml:space="preserve"> in Project No. 54445; effective December 5, 2025), amending Nodal Protocol Sections 4.4.12, 5.5.2 and 6.5.7.3. The quoted language and the impact-study results are from ERCOT, Real-Time Co-optimization Update, Item 5.3.1, ERCOT Board of Directors (April 2025). The $15 floor applies to the RUC, Real-Time and Day-Ahead ASDCs; it binds in practice only for ECRS and Non-Spin because it falls below the Regulation and Responsive Reserve Service minimums established in NPRR1268. Pre-RTC, the analogous construct was the $75 per MWh energy offer floor for On-Line Non-Spin capacity under Nodal Protocol Section 6.4.4.1, which RTC+B eliminated.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224A4"/>
    <w:multiLevelType w:val="hybridMultilevel"/>
    <w:tmpl w:val="B3903B2A"/>
    <w:lvl w:ilvl="0" w:tplc="4768C388">
      <w:start w:val="1"/>
      <w:numFmt w:val="bullet"/>
      <w:lvlText w:val="●"/>
      <w:lvlJc w:val="left"/>
      <w:pPr>
        <w:ind w:left="720" w:hanging="360"/>
      </w:pPr>
    </w:lvl>
    <w:lvl w:ilvl="1" w:tplc="CA12A9C0">
      <w:start w:val="1"/>
      <w:numFmt w:val="bullet"/>
      <w:lvlText w:val="○"/>
      <w:lvlJc w:val="left"/>
      <w:pPr>
        <w:ind w:left="1440" w:hanging="360"/>
      </w:pPr>
    </w:lvl>
    <w:lvl w:ilvl="2" w:tplc="BB9E102E">
      <w:start w:val="1"/>
      <w:numFmt w:val="bullet"/>
      <w:lvlText w:val="■"/>
      <w:lvlJc w:val="left"/>
      <w:pPr>
        <w:ind w:left="2160" w:hanging="360"/>
      </w:pPr>
    </w:lvl>
    <w:lvl w:ilvl="3" w:tplc="2354C578">
      <w:start w:val="1"/>
      <w:numFmt w:val="bullet"/>
      <w:lvlText w:val="●"/>
      <w:lvlJc w:val="left"/>
      <w:pPr>
        <w:ind w:left="2880" w:hanging="360"/>
      </w:pPr>
    </w:lvl>
    <w:lvl w:ilvl="4" w:tplc="1B68AA6E">
      <w:start w:val="1"/>
      <w:numFmt w:val="bullet"/>
      <w:lvlText w:val="○"/>
      <w:lvlJc w:val="left"/>
      <w:pPr>
        <w:ind w:left="3600" w:hanging="360"/>
      </w:pPr>
    </w:lvl>
    <w:lvl w:ilvl="5" w:tplc="D0FAB336">
      <w:start w:val="1"/>
      <w:numFmt w:val="bullet"/>
      <w:lvlText w:val="■"/>
      <w:lvlJc w:val="left"/>
      <w:pPr>
        <w:ind w:left="4320" w:hanging="360"/>
      </w:pPr>
    </w:lvl>
    <w:lvl w:ilvl="6" w:tplc="A6627EEE">
      <w:start w:val="1"/>
      <w:numFmt w:val="bullet"/>
      <w:lvlText w:val="●"/>
      <w:lvlJc w:val="left"/>
      <w:pPr>
        <w:ind w:left="5040" w:hanging="360"/>
      </w:pPr>
    </w:lvl>
    <w:lvl w:ilvl="7" w:tplc="03E483C6">
      <w:start w:val="1"/>
      <w:numFmt w:val="bullet"/>
      <w:lvlText w:val="●"/>
      <w:lvlJc w:val="left"/>
      <w:pPr>
        <w:ind w:left="5760" w:hanging="360"/>
      </w:pPr>
    </w:lvl>
    <w:lvl w:ilvl="8" w:tplc="EAAA20EC">
      <w:start w:val="1"/>
      <w:numFmt w:val="bullet"/>
      <w:lvlText w:val="●"/>
      <w:lvlJc w:val="left"/>
      <w:pPr>
        <w:ind w:left="6480" w:hanging="360"/>
      </w:pPr>
    </w:lvl>
  </w:abstractNum>
  <w:abstractNum w:abstractNumId="1" w15:restartNumberingAfterBreak="0">
    <w:nsid w:val="12B31F4E"/>
    <w:multiLevelType w:val="hybridMultilevel"/>
    <w:tmpl w:val="532E80A2"/>
    <w:lvl w:ilvl="0" w:tplc="65EA5034">
      <w:start w:val="1"/>
      <w:numFmt w:val="decimal"/>
      <w:lvlText w:val="%1."/>
      <w:lvlJc w:val="left"/>
      <w:pPr>
        <w:ind w:left="1080" w:hanging="360"/>
      </w:pPr>
    </w:lvl>
    <w:lvl w:ilvl="1" w:tplc="41A245B6">
      <w:numFmt w:val="decimal"/>
      <w:lvlText w:val=""/>
      <w:lvlJc w:val="left"/>
    </w:lvl>
    <w:lvl w:ilvl="2" w:tplc="E030401A">
      <w:numFmt w:val="decimal"/>
      <w:lvlText w:val=""/>
      <w:lvlJc w:val="left"/>
    </w:lvl>
    <w:lvl w:ilvl="3" w:tplc="AE6E39A8">
      <w:numFmt w:val="decimal"/>
      <w:lvlText w:val=""/>
      <w:lvlJc w:val="left"/>
    </w:lvl>
    <w:lvl w:ilvl="4" w:tplc="4D4CCBFE">
      <w:numFmt w:val="decimal"/>
      <w:lvlText w:val=""/>
      <w:lvlJc w:val="left"/>
    </w:lvl>
    <w:lvl w:ilvl="5" w:tplc="85F46BF4">
      <w:numFmt w:val="decimal"/>
      <w:lvlText w:val=""/>
      <w:lvlJc w:val="left"/>
    </w:lvl>
    <w:lvl w:ilvl="6" w:tplc="E22691C6">
      <w:numFmt w:val="decimal"/>
      <w:lvlText w:val=""/>
      <w:lvlJc w:val="left"/>
    </w:lvl>
    <w:lvl w:ilvl="7" w:tplc="ED7070CE">
      <w:numFmt w:val="decimal"/>
      <w:lvlText w:val=""/>
      <w:lvlJc w:val="left"/>
    </w:lvl>
    <w:lvl w:ilvl="8" w:tplc="F9549398">
      <w:numFmt w:val="decimal"/>
      <w:lvlText w:val=""/>
      <w:lvlJc w:val="left"/>
    </w:lvl>
  </w:abstractNum>
  <w:num w:numId="1" w16cid:durableId="758716221">
    <w:abstractNumId w:val="0"/>
    <w:lvlOverride w:ilvl="0">
      <w:startOverride w:val="1"/>
    </w:lvlOverride>
  </w:num>
  <w:num w:numId="2" w16cid:durableId="33800141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1FA"/>
    <w:rsid w:val="00012493"/>
    <w:rsid w:val="00012DBD"/>
    <w:rsid w:val="00013BEA"/>
    <w:rsid w:val="00030D0A"/>
    <w:rsid w:val="00030E81"/>
    <w:rsid w:val="0003591A"/>
    <w:rsid w:val="0004502B"/>
    <w:rsid w:val="00050024"/>
    <w:rsid w:val="00055005"/>
    <w:rsid w:val="00066C30"/>
    <w:rsid w:val="00072F1C"/>
    <w:rsid w:val="00082CFB"/>
    <w:rsid w:val="00085272"/>
    <w:rsid w:val="000869E8"/>
    <w:rsid w:val="0008730F"/>
    <w:rsid w:val="00097C2E"/>
    <w:rsid w:val="000A2D7D"/>
    <w:rsid w:val="000A54BF"/>
    <w:rsid w:val="000A6BDD"/>
    <w:rsid w:val="000B0FA4"/>
    <w:rsid w:val="000B5213"/>
    <w:rsid w:val="000D327C"/>
    <w:rsid w:val="000D7571"/>
    <w:rsid w:val="000E3F11"/>
    <w:rsid w:val="000F5D3B"/>
    <w:rsid w:val="00110280"/>
    <w:rsid w:val="0011358C"/>
    <w:rsid w:val="00130EE8"/>
    <w:rsid w:val="00137B7E"/>
    <w:rsid w:val="001421FA"/>
    <w:rsid w:val="001429C9"/>
    <w:rsid w:val="001467E5"/>
    <w:rsid w:val="001540D8"/>
    <w:rsid w:val="00155251"/>
    <w:rsid w:val="00157E1B"/>
    <w:rsid w:val="001605D4"/>
    <w:rsid w:val="001607B3"/>
    <w:rsid w:val="00183EBF"/>
    <w:rsid w:val="00185997"/>
    <w:rsid w:val="0019648A"/>
    <w:rsid w:val="001A1731"/>
    <w:rsid w:val="001A35BD"/>
    <w:rsid w:val="001A5864"/>
    <w:rsid w:val="001B5106"/>
    <w:rsid w:val="001B769C"/>
    <w:rsid w:val="001C7701"/>
    <w:rsid w:val="001D1CBA"/>
    <w:rsid w:val="001D7E14"/>
    <w:rsid w:val="001F4B31"/>
    <w:rsid w:val="002006F4"/>
    <w:rsid w:val="00207B66"/>
    <w:rsid w:val="00210449"/>
    <w:rsid w:val="002206CD"/>
    <w:rsid w:val="002329F1"/>
    <w:rsid w:val="00250D08"/>
    <w:rsid w:val="00252AA5"/>
    <w:rsid w:val="00261A8F"/>
    <w:rsid w:val="00263926"/>
    <w:rsid w:val="00273065"/>
    <w:rsid w:val="002737B0"/>
    <w:rsid w:val="00274C3F"/>
    <w:rsid w:val="00276EEF"/>
    <w:rsid w:val="00283E16"/>
    <w:rsid w:val="00297646"/>
    <w:rsid w:val="002A4383"/>
    <w:rsid w:val="002A6C08"/>
    <w:rsid w:val="002B286E"/>
    <w:rsid w:val="002C5464"/>
    <w:rsid w:val="002E1F94"/>
    <w:rsid w:val="002E472F"/>
    <w:rsid w:val="002E6F4E"/>
    <w:rsid w:val="002E7F3B"/>
    <w:rsid w:val="002F21A4"/>
    <w:rsid w:val="002F3105"/>
    <w:rsid w:val="002F4015"/>
    <w:rsid w:val="002F4678"/>
    <w:rsid w:val="002F60E7"/>
    <w:rsid w:val="003129D5"/>
    <w:rsid w:val="00321B9A"/>
    <w:rsid w:val="003224E5"/>
    <w:rsid w:val="00323017"/>
    <w:rsid w:val="003521F1"/>
    <w:rsid w:val="0037044A"/>
    <w:rsid w:val="003838BD"/>
    <w:rsid w:val="003858D6"/>
    <w:rsid w:val="00395762"/>
    <w:rsid w:val="003C4575"/>
    <w:rsid w:val="003C498D"/>
    <w:rsid w:val="003D2E27"/>
    <w:rsid w:val="003E327B"/>
    <w:rsid w:val="003F39DD"/>
    <w:rsid w:val="003F62F0"/>
    <w:rsid w:val="00400041"/>
    <w:rsid w:val="0040171A"/>
    <w:rsid w:val="00414F59"/>
    <w:rsid w:val="004247AE"/>
    <w:rsid w:val="00425210"/>
    <w:rsid w:val="00430C0F"/>
    <w:rsid w:val="00446BF8"/>
    <w:rsid w:val="00447649"/>
    <w:rsid w:val="00452CA6"/>
    <w:rsid w:val="00455F34"/>
    <w:rsid w:val="004641C1"/>
    <w:rsid w:val="00471CC0"/>
    <w:rsid w:val="00484B50"/>
    <w:rsid w:val="0048623C"/>
    <w:rsid w:val="004874AA"/>
    <w:rsid w:val="00496651"/>
    <w:rsid w:val="004B217C"/>
    <w:rsid w:val="004B31CF"/>
    <w:rsid w:val="004B3D44"/>
    <w:rsid w:val="004B43D3"/>
    <w:rsid w:val="004C08B2"/>
    <w:rsid w:val="004C1FB9"/>
    <w:rsid w:val="004D1179"/>
    <w:rsid w:val="004D500C"/>
    <w:rsid w:val="004D6EEB"/>
    <w:rsid w:val="004E120D"/>
    <w:rsid w:val="00505AA1"/>
    <w:rsid w:val="00526470"/>
    <w:rsid w:val="005339D8"/>
    <w:rsid w:val="00536116"/>
    <w:rsid w:val="005424FE"/>
    <w:rsid w:val="00551766"/>
    <w:rsid w:val="005578F4"/>
    <w:rsid w:val="0057642C"/>
    <w:rsid w:val="00582090"/>
    <w:rsid w:val="00590E98"/>
    <w:rsid w:val="00596B1F"/>
    <w:rsid w:val="005A047E"/>
    <w:rsid w:val="005B46B3"/>
    <w:rsid w:val="005C0CE8"/>
    <w:rsid w:val="005C4C2F"/>
    <w:rsid w:val="005D36DE"/>
    <w:rsid w:val="005F5069"/>
    <w:rsid w:val="005F5383"/>
    <w:rsid w:val="00601A4D"/>
    <w:rsid w:val="0060407E"/>
    <w:rsid w:val="00605A5E"/>
    <w:rsid w:val="00611F74"/>
    <w:rsid w:val="0061661F"/>
    <w:rsid w:val="00651F11"/>
    <w:rsid w:val="006707D9"/>
    <w:rsid w:val="00671D4E"/>
    <w:rsid w:val="00673D6B"/>
    <w:rsid w:val="00676285"/>
    <w:rsid w:val="006820A6"/>
    <w:rsid w:val="006A5EB2"/>
    <w:rsid w:val="006A777D"/>
    <w:rsid w:val="006C7357"/>
    <w:rsid w:val="006D2EFC"/>
    <w:rsid w:val="006D44A9"/>
    <w:rsid w:val="006D4A3A"/>
    <w:rsid w:val="006D745F"/>
    <w:rsid w:val="006E12F3"/>
    <w:rsid w:val="006E7B6B"/>
    <w:rsid w:val="0071129C"/>
    <w:rsid w:val="00711D6C"/>
    <w:rsid w:val="00744C1D"/>
    <w:rsid w:val="00750C2C"/>
    <w:rsid w:val="007528FA"/>
    <w:rsid w:val="00756E0E"/>
    <w:rsid w:val="00762F8E"/>
    <w:rsid w:val="00775AFD"/>
    <w:rsid w:val="00780C90"/>
    <w:rsid w:val="00785289"/>
    <w:rsid w:val="00785D81"/>
    <w:rsid w:val="007972A1"/>
    <w:rsid w:val="007A15D2"/>
    <w:rsid w:val="007A41D1"/>
    <w:rsid w:val="007B5725"/>
    <w:rsid w:val="007B64DB"/>
    <w:rsid w:val="007B6E00"/>
    <w:rsid w:val="007B73D5"/>
    <w:rsid w:val="007C035C"/>
    <w:rsid w:val="007C5F99"/>
    <w:rsid w:val="007E17F3"/>
    <w:rsid w:val="007E6303"/>
    <w:rsid w:val="008043F1"/>
    <w:rsid w:val="008139AE"/>
    <w:rsid w:val="008448FC"/>
    <w:rsid w:val="0085156C"/>
    <w:rsid w:val="00862DE3"/>
    <w:rsid w:val="00866DC6"/>
    <w:rsid w:val="00883B8C"/>
    <w:rsid w:val="008842FE"/>
    <w:rsid w:val="00886903"/>
    <w:rsid w:val="00892388"/>
    <w:rsid w:val="008A32E3"/>
    <w:rsid w:val="008B73C0"/>
    <w:rsid w:val="008D5230"/>
    <w:rsid w:val="008E1F43"/>
    <w:rsid w:val="008E3B86"/>
    <w:rsid w:val="008E4662"/>
    <w:rsid w:val="008E4AD7"/>
    <w:rsid w:val="008F6AA1"/>
    <w:rsid w:val="00900691"/>
    <w:rsid w:val="00902D34"/>
    <w:rsid w:val="009168F6"/>
    <w:rsid w:val="00917451"/>
    <w:rsid w:val="00921FA8"/>
    <w:rsid w:val="00940709"/>
    <w:rsid w:val="00954F77"/>
    <w:rsid w:val="0096167B"/>
    <w:rsid w:val="00962987"/>
    <w:rsid w:val="00970D95"/>
    <w:rsid w:val="009740D8"/>
    <w:rsid w:val="00982808"/>
    <w:rsid w:val="00986943"/>
    <w:rsid w:val="009A69A0"/>
    <w:rsid w:val="009C4124"/>
    <w:rsid w:val="009D368D"/>
    <w:rsid w:val="009D5B1A"/>
    <w:rsid w:val="009E1425"/>
    <w:rsid w:val="009E719A"/>
    <w:rsid w:val="009F4EF5"/>
    <w:rsid w:val="00A302E5"/>
    <w:rsid w:val="00A33CCB"/>
    <w:rsid w:val="00A53587"/>
    <w:rsid w:val="00A65925"/>
    <w:rsid w:val="00A84A17"/>
    <w:rsid w:val="00AA0409"/>
    <w:rsid w:val="00AA22D3"/>
    <w:rsid w:val="00AB699D"/>
    <w:rsid w:val="00AC0099"/>
    <w:rsid w:val="00AC6043"/>
    <w:rsid w:val="00AC65AF"/>
    <w:rsid w:val="00AD38B8"/>
    <w:rsid w:val="00AD4BE2"/>
    <w:rsid w:val="00AE7FC5"/>
    <w:rsid w:val="00AF34E0"/>
    <w:rsid w:val="00AF673D"/>
    <w:rsid w:val="00B06820"/>
    <w:rsid w:val="00B14FFC"/>
    <w:rsid w:val="00B21877"/>
    <w:rsid w:val="00B23977"/>
    <w:rsid w:val="00B257DC"/>
    <w:rsid w:val="00B26214"/>
    <w:rsid w:val="00B26C41"/>
    <w:rsid w:val="00B27E8E"/>
    <w:rsid w:val="00B3234B"/>
    <w:rsid w:val="00B32F0C"/>
    <w:rsid w:val="00B45FE8"/>
    <w:rsid w:val="00B56B64"/>
    <w:rsid w:val="00B63F4A"/>
    <w:rsid w:val="00B66F1F"/>
    <w:rsid w:val="00B670BE"/>
    <w:rsid w:val="00B734E3"/>
    <w:rsid w:val="00B777C7"/>
    <w:rsid w:val="00B77B6C"/>
    <w:rsid w:val="00B92EE5"/>
    <w:rsid w:val="00B96B84"/>
    <w:rsid w:val="00B971BF"/>
    <w:rsid w:val="00BB7AB4"/>
    <w:rsid w:val="00BB7EE5"/>
    <w:rsid w:val="00BC3DC7"/>
    <w:rsid w:val="00BE0A19"/>
    <w:rsid w:val="00BE3B03"/>
    <w:rsid w:val="00BF2CAA"/>
    <w:rsid w:val="00C03E88"/>
    <w:rsid w:val="00C04A83"/>
    <w:rsid w:val="00C16B22"/>
    <w:rsid w:val="00C2003F"/>
    <w:rsid w:val="00C25CDC"/>
    <w:rsid w:val="00C26452"/>
    <w:rsid w:val="00C31DFA"/>
    <w:rsid w:val="00C34858"/>
    <w:rsid w:val="00C5680B"/>
    <w:rsid w:val="00C619F9"/>
    <w:rsid w:val="00C63BC4"/>
    <w:rsid w:val="00C6608F"/>
    <w:rsid w:val="00C71556"/>
    <w:rsid w:val="00C81300"/>
    <w:rsid w:val="00C82FAF"/>
    <w:rsid w:val="00C95C9E"/>
    <w:rsid w:val="00C9762A"/>
    <w:rsid w:val="00CB2C11"/>
    <w:rsid w:val="00CB4A17"/>
    <w:rsid w:val="00CD7195"/>
    <w:rsid w:val="00CE7AED"/>
    <w:rsid w:val="00D06EBD"/>
    <w:rsid w:val="00D16204"/>
    <w:rsid w:val="00D16CDC"/>
    <w:rsid w:val="00D17910"/>
    <w:rsid w:val="00D21E6A"/>
    <w:rsid w:val="00D32AC0"/>
    <w:rsid w:val="00D60D6D"/>
    <w:rsid w:val="00D71069"/>
    <w:rsid w:val="00D74D4B"/>
    <w:rsid w:val="00D76F9E"/>
    <w:rsid w:val="00DB4914"/>
    <w:rsid w:val="00DB4C2F"/>
    <w:rsid w:val="00DE579D"/>
    <w:rsid w:val="00DE70AB"/>
    <w:rsid w:val="00E13501"/>
    <w:rsid w:val="00E21DA0"/>
    <w:rsid w:val="00E311FF"/>
    <w:rsid w:val="00E31F4C"/>
    <w:rsid w:val="00E321CD"/>
    <w:rsid w:val="00E34552"/>
    <w:rsid w:val="00E34A95"/>
    <w:rsid w:val="00E35EE4"/>
    <w:rsid w:val="00E402DF"/>
    <w:rsid w:val="00E4429F"/>
    <w:rsid w:val="00E45B7C"/>
    <w:rsid w:val="00E52468"/>
    <w:rsid w:val="00E63282"/>
    <w:rsid w:val="00E66AA2"/>
    <w:rsid w:val="00E7451F"/>
    <w:rsid w:val="00E74CB0"/>
    <w:rsid w:val="00E914DE"/>
    <w:rsid w:val="00E91BF5"/>
    <w:rsid w:val="00E92CE4"/>
    <w:rsid w:val="00E961E6"/>
    <w:rsid w:val="00EA1256"/>
    <w:rsid w:val="00EA3709"/>
    <w:rsid w:val="00EA5CF4"/>
    <w:rsid w:val="00EB50E0"/>
    <w:rsid w:val="00EE6F3B"/>
    <w:rsid w:val="00EF4CC0"/>
    <w:rsid w:val="00F034D9"/>
    <w:rsid w:val="00F23A0F"/>
    <w:rsid w:val="00F244CB"/>
    <w:rsid w:val="00F45215"/>
    <w:rsid w:val="00F70602"/>
    <w:rsid w:val="00F735D3"/>
    <w:rsid w:val="00F7441D"/>
    <w:rsid w:val="00F753A6"/>
    <w:rsid w:val="00F757DA"/>
    <w:rsid w:val="00F858CE"/>
    <w:rsid w:val="00F85C3F"/>
    <w:rsid w:val="00F912E4"/>
    <w:rsid w:val="00F92205"/>
    <w:rsid w:val="00F95869"/>
    <w:rsid w:val="00FA6C56"/>
    <w:rsid w:val="00FA7A36"/>
    <w:rsid w:val="00FB7786"/>
    <w:rsid w:val="00FC7823"/>
    <w:rsid w:val="00FD0862"/>
    <w:rsid w:val="00FD3529"/>
    <w:rsid w:val="00FE4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F2DA6"/>
  <w15:docId w15:val="{19C292C5-4905-7E4A-B2D7-757503AA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Revision">
    <w:name w:val="Revision"/>
    <w:hidden/>
    <w:uiPriority w:val="99"/>
    <w:semiHidden/>
    <w:rsid w:val="00030D0A"/>
  </w:style>
  <w:style w:type="character" w:styleId="UnresolvedMention">
    <w:name w:val="Unresolved Mention"/>
    <w:basedOn w:val="DefaultParagraphFont"/>
    <w:uiPriority w:val="99"/>
    <w:semiHidden/>
    <w:unhideWhenUsed/>
    <w:rsid w:val="00252AA5"/>
    <w:rPr>
      <w:color w:val="605E5C"/>
      <w:shd w:val="clear" w:color="auto" w:fill="E1DFDD"/>
    </w:rPr>
  </w:style>
  <w:style w:type="character" w:styleId="CommentReference">
    <w:name w:val="annotation reference"/>
    <w:basedOn w:val="DefaultParagraphFont"/>
    <w:uiPriority w:val="99"/>
    <w:semiHidden/>
    <w:unhideWhenUsed/>
    <w:rsid w:val="00E52468"/>
    <w:rPr>
      <w:sz w:val="16"/>
      <w:szCs w:val="16"/>
    </w:rPr>
  </w:style>
  <w:style w:type="paragraph" w:styleId="CommentText">
    <w:name w:val="annotation text"/>
    <w:basedOn w:val="Normal"/>
    <w:link w:val="CommentTextChar"/>
    <w:uiPriority w:val="99"/>
    <w:unhideWhenUsed/>
    <w:rsid w:val="00E52468"/>
  </w:style>
  <w:style w:type="character" w:customStyle="1" w:styleId="CommentTextChar">
    <w:name w:val="Comment Text Char"/>
    <w:basedOn w:val="DefaultParagraphFont"/>
    <w:link w:val="CommentText"/>
    <w:uiPriority w:val="99"/>
    <w:rsid w:val="00E52468"/>
  </w:style>
  <w:style w:type="paragraph" w:styleId="CommentSubject">
    <w:name w:val="annotation subject"/>
    <w:basedOn w:val="CommentText"/>
    <w:next w:val="CommentText"/>
    <w:link w:val="CommentSubjectChar"/>
    <w:uiPriority w:val="99"/>
    <w:semiHidden/>
    <w:unhideWhenUsed/>
    <w:rsid w:val="008E4662"/>
    <w:rPr>
      <w:b/>
      <w:bCs/>
    </w:rPr>
  </w:style>
  <w:style w:type="character" w:customStyle="1" w:styleId="CommentSubjectChar">
    <w:name w:val="Comment Subject Char"/>
    <w:basedOn w:val="CommentTextChar"/>
    <w:link w:val="CommentSubject"/>
    <w:uiPriority w:val="99"/>
    <w:semiHidden/>
    <w:rsid w:val="008E46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hams@crescentpower.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B845D-1CAD-425B-B64F-1536A7D50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Shams Siddiqi</cp:lastModifiedBy>
  <cp:revision>9</cp:revision>
  <dcterms:created xsi:type="dcterms:W3CDTF">2026-08-19T20:05:00Z</dcterms:created>
  <dcterms:modified xsi:type="dcterms:W3CDTF">2026-08-19T20:26:00Z</dcterms:modified>
</cp:coreProperties>
</file>